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BD1" w:rsidRPr="00970BD1" w:rsidRDefault="00970BD1" w:rsidP="00970BD1">
      <w:pPr>
        <w:shd w:val="clear" w:color="auto" w:fill="FFFFFF"/>
        <w:spacing w:before="150" w:after="150" w:line="240" w:lineRule="auto"/>
        <w:jc w:val="both"/>
        <w:outlineLvl w:val="3"/>
        <w:rPr>
          <w:rFonts w:ascii="Arial" w:eastAsia="Times New Roman" w:hAnsi="Arial" w:cs="Arial"/>
          <w:color w:val="333333"/>
          <w:sz w:val="30"/>
          <w:szCs w:val="30"/>
        </w:rPr>
      </w:pPr>
      <w:r w:rsidRPr="00970BD1">
        <w:rPr>
          <w:rFonts w:ascii="Arial" w:eastAsia="Times New Roman" w:hAnsi="Arial" w:cs="Arial"/>
          <w:color w:val="333333"/>
          <w:sz w:val="30"/>
          <w:szCs w:val="30"/>
        </w:rPr>
        <w:t>Những yếu tố của cuộc cách mạng công nghiệp lần thứ 4 đã đặt con người trước cuộc cạnh tranh việc làm và chinh phục trí tuệ nhân tạo, robot.</w:t>
      </w:r>
    </w:p>
    <w:p w:rsidR="00970BD1" w:rsidRPr="00970BD1" w:rsidRDefault="00970BD1" w:rsidP="00970BD1">
      <w:pPr>
        <w:shd w:val="clear" w:color="auto" w:fill="FFFFFF"/>
        <w:spacing w:after="150" w:line="240" w:lineRule="auto"/>
        <w:jc w:val="both"/>
        <w:rPr>
          <w:rFonts w:ascii="Arial" w:eastAsia="Times New Roman" w:hAnsi="Arial" w:cs="Arial"/>
          <w:color w:val="333333"/>
          <w:sz w:val="23"/>
          <w:szCs w:val="23"/>
        </w:rPr>
      </w:pPr>
      <w:r w:rsidRPr="00970BD1">
        <w:rPr>
          <w:rFonts w:ascii="Arial" w:eastAsia="Times New Roman" w:hAnsi="Arial" w:cs="Arial"/>
          <w:color w:val="333333"/>
          <w:sz w:val="23"/>
          <w:szCs w:val="23"/>
        </w:rPr>
        <w:t>Để có thể đương đầu với thách thức khi nước ta thực sự bước vào cuộc cách mạng công nghiệp này, các bạn sinh viên phải chuẩn bị cho mình tri thức về công nghệ thông tin và trình độ ngoại ngữ tốt, kỹ năng mềm thành thạo và kinh nghiệm làm việc thực tế để mở ra cánh cửa bước vào sân chơi toàn cầu hóa.</w:t>
      </w:r>
    </w:p>
    <w:p w:rsidR="00970BD1" w:rsidRPr="00970BD1" w:rsidRDefault="00970BD1" w:rsidP="00970BD1">
      <w:pPr>
        <w:shd w:val="clear" w:color="auto" w:fill="FFFFFF"/>
        <w:spacing w:before="150" w:after="150" w:line="240" w:lineRule="auto"/>
        <w:jc w:val="both"/>
        <w:outlineLvl w:val="3"/>
        <w:rPr>
          <w:rFonts w:ascii="Arial" w:eastAsia="Times New Roman" w:hAnsi="Arial" w:cs="Arial"/>
          <w:color w:val="333333"/>
          <w:sz w:val="30"/>
          <w:szCs w:val="30"/>
        </w:rPr>
      </w:pPr>
      <w:r w:rsidRPr="00970BD1">
        <w:rPr>
          <w:rFonts w:ascii="Arial" w:eastAsia="Times New Roman" w:hAnsi="Arial" w:cs="Arial"/>
          <w:color w:val="333333"/>
          <w:sz w:val="30"/>
          <w:szCs w:val="30"/>
        </w:rPr>
        <w:t>1. Khả năng ứng dụng những tiến bộ khoa học công nghệ vào thực tiễn</w:t>
      </w:r>
    </w:p>
    <w:p w:rsidR="00970BD1" w:rsidRPr="00970BD1" w:rsidRDefault="00970BD1" w:rsidP="00970BD1">
      <w:pPr>
        <w:shd w:val="clear" w:color="auto" w:fill="FFFFFF"/>
        <w:spacing w:after="150" w:line="240" w:lineRule="auto"/>
        <w:jc w:val="both"/>
        <w:rPr>
          <w:rFonts w:ascii="Arial" w:eastAsia="Times New Roman" w:hAnsi="Arial" w:cs="Arial"/>
          <w:color w:val="333333"/>
          <w:sz w:val="23"/>
          <w:szCs w:val="23"/>
        </w:rPr>
      </w:pPr>
      <w:r w:rsidRPr="00970BD1">
        <w:rPr>
          <w:rFonts w:ascii="Arial" w:eastAsia="Times New Roman" w:hAnsi="Arial" w:cs="Arial"/>
          <w:color w:val="333333"/>
          <w:sz w:val="23"/>
          <w:szCs w:val="23"/>
        </w:rPr>
        <w:t>Ngày nay cả thế giới và Việt Nam đang tiến vào cuộc cách mạng công nghiệp lần thứ tư hay còn gọi là công nghiệp 4.0. Cuộc cách mạng này sẽ biến đổi cách sống, làm việc và giao tiếp của toàn nhân loại theo cách hoàn toàn mới. </w:t>
      </w:r>
    </w:p>
    <w:p w:rsidR="00970BD1" w:rsidRDefault="00970BD1" w:rsidP="00970BD1">
      <w:pPr>
        <w:pStyle w:val="NormalWeb"/>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rung tâm của cuộc cách mạng công nghiệp lần thứ tư là công nghệ thông tin (CNTT) và Internet kết nối vạn vật (IoT), không chỉ giúp con người giao tiếp với con người, mà còn là con người giao tiếp với máy, con người giao tiếp với đồ vật và đồ vật giao tiếp với nhau.</w:t>
      </w:r>
    </w:p>
    <w:p w:rsidR="00970BD1" w:rsidRDefault="00970BD1" w:rsidP="00970BD1">
      <w:pPr>
        <w:pStyle w:val="NormalWeb"/>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Do đó, các quốc gia muốn tiến vào cuộc cách mạng công nghiệp này đòi hỏi phải có một nguồn nhân lực chất lượng cao có khả năng ứng dụng những tiến bộ khoa học công nghệ của cuộc cách mạng vào thực tiễn sản xuất để có thể đáp ứng được yêu cầu phát triển đặt ra. </w:t>
      </w:r>
    </w:p>
    <w:p w:rsidR="00970BD1" w:rsidRDefault="00970BD1" w:rsidP="00970BD1">
      <w:pPr>
        <w:pStyle w:val="NormalWeb"/>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Vì thế, ngay từ trên giảng đường đại học, sinh viên phải chủ động tích lũy tri thức về công nghệ thông tin, chủ động cập nhật kịp thời và ứng dụng những tiến bộ khoa học kỹ thuật mới nhất của thế giới vào cuộc sống thì chúng ta mới có cơ hội cạnh tranh việc làm, mở ra cánh cửa để bước vào sân chơi toàn cầu hóa.</w:t>
      </w:r>
    </w:p>
    <w:p w:rsidR="00970BD1" w:rsidRDefault="00970BD1" w:rsidP="00970BD1">
      <w:pPr>
        <w:pStyle w:val="Heading4"/>
        <w:shd w:val="clear" w:color="auto" w:fill="FFFFFF"/>
        <w:spacing w:before="150" w:beforeAutospacing="0" w:after="150" w:afterAutospacing="0"/>
        <w:jc w:val="both"/>
        <w:rPr>
          <w:rFonts w:ascii="Arial" w:hAnsi="Arial" w:cs="Arial"/>
          <w:b w:val="0"/>
          <w:bCs w:val="0"/>
          <w:color w:val="333333"/>
          <w:sz w:val="30"/>
          <w:szCs w:val="30"/>
        </w:rPr>
      </w:pPr>
      <w:r>
        <w:rPr>
          <w:rFonts w:ascii="Arial" w:hAnsi="Arial" w:cs="Arial"/>
          <w:b w:val="0"/>
          <w:bCs w:val="0"/>
          <w:color w:val="333333"/>
          <w:sz w:val="30"/>
          <w:szCs w:val="30"/>
        </w:rPr>
        <w:t>2. Ngoại ngữ tốt - mở rộng cơ hội nghề nghiệp</w:t>
      </w:r>
    </w:p>
    <w:p w:rsidR="00970BD1" w:rsidRDefault="00970BD1" w:rsidP="00970BD1">
      <w:pPr>
        <w:pStyle w:val="NormalWeb"/>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Trau dồi vốn ngoại ngữ là yêu cầu mang tính cần thiết. Khả năng sử dụng ngoại ngữ sẽ tạo cơ hội cho chúng ta tiếp cận với các tin tức, sách báo, tài liệu nước ngoài, giao tiếp được với bạn bè quốc tế nhằm giao lưu, học hỏi văn hóa của các miền đất trên Thế giới và tiếp thu tri thức nhân loại. </w:t>
      </w:r>
    </w:p>
    <w:p w:rsidR="00970BD1" w:rsidRDefault="00970BD1" w:rsidP="00970BD1">
      <w:pPr>
        <w:pStyle w:val="NormalWeb"/>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Giữa xu thế “đa quốc gia hóa” của các công ty, biết ít nhất một ngoại ngữ sẽ giúp bạn nổi bật, dễ dàng nhận được công việc phù hợp với khả năng, trình độ bản thân, việc tìm kiếm các thông tin tuyển dụng sẽ mở rộng nhiều vị trí hấp dẫn.</w:t>
      </w:r>
    </w:p>
    <w:p w:rsidR="00970BD1" w:rsidRDefault="00970BD1" w:rsidP="00970BD1">
      <w:pPr>
        <w:pStyle w:val="NormalWeb"/>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Tuy nhiên cần phải nhấn mạnh rằng học ngoại ngữ không đơn thuần chỉ là biết từ vựng và hiệu quả, nghĩa là người học ngoại ngữ đồng thời phải học hỏi văn hóa nước khác để có cách diễn đạt phù hợp. Một giảng viên tiếng Anh đã từng nói: “Không thể dạy được ngoại ngữ nếu người đó không am hiểu về văn hóa nước họ”. Cũng như vậy, việc học ngoại ngữ cũng cần gắn với mục đích đúng đắn nhất định, đó là phục vụ học tập, làm việc, giao tiếp và giải trí lành mạnh.</w:t>
      </w:r>
    </w:p>
    <w:p w:rsidR="00970BD1" w:rsidRDefault="00970BD1" w:rsidP="00970BD1">
      <w:pPr>
        <w:pStyle w:val="Heading4"/>
        <w:shd w:val="clear" w:color="auto" w:fill="FFFFFF"/>
        <w:spacing w:before="150" w:beforeAutospacing="0" w:after="150" w:afterAutospacing="0"/>
        <w:jc w:val="both"/>
        <w:rPr>
          <w:rFonts w:ascii="Arial" w:hAnsi="Arial" w:cs="Arial"/>
          <w:b w:val="0"/>
          <w:bCs w:val="0"/>
          <w:color w:val="333333"/>
          <w:sz w:val="30"/>
          <w:szCs w:val="30"/>
        </w:rPr>
      </w:pPr>
      <w:r>
        <w:rPr>
          <w:rFonts w:ascii="Arial" w:hAnsi="Arial" w:cs="Arial"/>
          <w:b w:val="0"/>
          <w:bCs w:val="0"/>
          <w:color w:val="333333"/>
          <w:sz w:val="30"/>
          <w:szCs w:val="30"/>
        </w:rPr>
        <w:t>3. Kỹ năng mềm thành thạo - lợi thế hòa nhập với môi trường làm việc</w:t>
      </w:r>
    </w:p>
    <w:p w:rsidR="00970BD1" w:rsidRDefault="00970BD1" w:rsidP="00970BD1">
      <w:pPr>
        <w:pStyle w:val="NormalWeb"/>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lastRenderedPageBreak/>
        <w:t>Kỹ năng mềm là thuật ngữ dùng để chỉ các kỹ năng quan trọng trong cuộc sống con người, thường không được học trong nhà trường, không liên quan đến kiến thức chuyên môn. Nhưng, kỹ năng mềm lại quyết định bạn là ai, làm việc thế nào, là thước đo hiệu quả cao trong công việc.</w:t>
      </w:r>
    </w:p>
    <w:p w:rsidR="00970BD1" w:rsidRDefault="00970BD1" w:rsidP="00970BD1">
      <w:pPr>
        <w:pStyle w:val="NormalWeb"/>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Các nghiên cứu đã chỉ ra rằng, kỹ năng mềm quyết định 75% thành công của con người còn kỹ năng cứng (hay kiến thức, trình độ chuyên môn) chỉ chiếm 25%. Chìa khóa dẫn đến thành công thực sự là bạn phải biết kết hợp cả hai kỹ năng này một cách khéo léo.</w:t>
      </w:r>
    </w:p>
    <w:p w:rsidR="00970BD1" w:rsidRDefault="00970BD1" w:rsidP="00970BD1">
      <w:pPr>
        <w:pStyle w:val="NormalWeb"/>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Kỹ năng mềm bao gồm: giao tiếp, làm việc nhóm, chọn partner, kỹ năng trình bày (thể hiện và vận dụng trí tuệ, công nghệ, bản lĩnh), quản lý thời gian… Đặc biệt, là kỹ năng quản lý thời gian để giúp các bạn sinh viên không sa đà vào mạng xã hội, giải trí mà làm việc thiếu hiệu quả, giảm năng suất. Trong quá tình học tập bạn cần khai thác và phát triển tối đa khả năng tiềm ẩn của mình. Hãy tham gia các chương trình ngoại khóa sôi nổi, các câu lạc bộ, các lớp học... là nơi bạn có thể rèn luyện kĩ năng mềm.</w:t>
      </w:r>
    </w:p>
    <w:p w:rsidR="00970BD1" w:rsidRDefault="00970BD1" w:rsidP="00970BD1">
      <w:pPr>
        <w:pStyle w:val="NormalWeb"/>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Ngoài ra, bạn cũng cần tham gia vào công tác xã hội để biết chia sẻ năng lực và của cải với xã hội. Mối quan hệ là điều quan trọng, nó như một thư viện lớn. Khi cần việc gì sẽ tìm đến ngăn thư viện đó và mở nó ra, sẽ tìm được cách giải quyết khó khăn, thắc mắc của mình. Vì thế, xây dựng mối quan hệ từ thời sinh viên bằng cách tham gia các hoạt động xã hội của câu lạc bộ hay hội nhóm... là cách tích lũy cho mình những kiến thức, kinh nghiệm và quan trọng là những mối quan hệ tốt đẹp.</w:t>
      </w:r>
    </w:p>
    <w:p w:rsidR="00970BD1" w:rsidRDefault="00970BD1" w:rsidP="00970BD1">
      <w:pPr>
        <w:pStyle w:val="Heading4"/>
        <w:shd w:val="clear" w:color="auto" w:fill="FFFFFF"/>
        <w:spacing w:before="150" w:beforeAutospacing="0" w:after="150" w:afterAutospacing="0"/>
        <w:jc w:val="both"/>
        <w:rPr>
          <w:rFonts w:ascii="Arial" w:hAnsi="Arial" w:cs="Arial"/>
          <w:b w:val="0"/>
          <w:bCs w:val="0"/>
          <w:color w:val="333333"/>
          <w:sz w:val="30"/>
          <w:szCs w:val="30"/>
        </w:rPr>
      </w:pPr>
      <w:r>
        <w:rPr>
          <w:rFonts w:ascii="Arial" w:hAnsi="Arial" w:cs="Arial"/>
          <w:b w:val="0"/>
          <w:bCs w:val="0"/>
          <w:color w:val="333333"/>
          <w:sz w:val="30"/>
          <w:szCs w:val="30"/>
        </w:rPr>
        <w:t>4. Kinh nghiệm làm việc thực tế - bí quyết gây ấn tượng với nhà tuyển dụng</w:t>
      </w:r>
    </w:p>
    <w:p w:rsidR="00970BD1" w:rsidRDefault="00970BD1" w:rsidP="00970BD1">
      <w:pPr>
        <w:pStyle w:val="NormalWeb"/>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Doanh nghiệp thường yêu cầu tuyển dụng ứng viên có kinh nghiệm, chính vì vậy nhiều sinh viên ra trường thường không đáp ứng được. Trái lại, nhiều sinh viên mới ra trường nhưng đã có bản CV đẹp với kinh nghiệm khá “dày”, họ nhanh chóng thích nghi với môi trường doanh nghiệp khi còn ở đại học. </w:t>
      </w:r>
    </w:p>
    <w:p w:rsidR="00970BD1" w:rsidRDefault="00970BD1" w:rsidP="00970BD1">
      <w:pPr>
        <w:pStyle w:val="NormalWeb"/>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Theo đó, kỳ thực tập là một lợi thế rất lớn giúp sinh viên vượt qua các kỳ tuyển dụng gắt gao cũng như không bị ngỡ ngàng khi bắt tay vào việc. Bởi kỳ thực tập là thời điểm tốt nhất để sinh viên có thể học hỏi kinh nghiệm trong lĩnh vực mà mình quan tâm. Về cơ bản, quá trình thực tập cũng gần giống như quá trình đào tạo cho một nhân viên mới trong công ty.</w:t>
      </w:r>
    </w:p>
    <w:p w:rsidR="00176655" w:rsidRDefault="00970BD1">
      <w:pPr>
        <w:rPr>
          <w:rFonts w:ascii="Arial" w:hAnsi="Arial" w:cs="Arial"/>
          <w:color w:val="333333"/>
          <w:sz w:val="23"/>
          <w:szCs w:val="23"/>
          <w:shd w:val="clear" w:color="auto" w:fill="FFFFFF"/>
        </w:rPr>
      </w:pPr>
      <w:r>
        <w:rPr>
          <w:rFonts w:ascii="Arial" w:hAnsi="Arial" w:cs="Arial"/>
          <w:color w:val="333333"/>
          <w:sz w:val="23"/>
          <w:szCs w:val="23"/>
          <w:shd w:val="clear" w:color="auto" w:fill="FFFFFF"/>
        </w:rPr>
        <w:t>Ngoài ra, nếu muốn có thêm kinh nghiệm làm việc ngay trong khóa học, một công việc làm thêm phù hợp với ngành học hoặc sở thích sẽ giúp bạn học hỏi nhiều điều bởi trong quá trình làm việc không tránh được những "va chạm" bạn sẽ có thêm nhiều kinh nghiệm để xử lý những tình huống đó. Những kinh nghiệm này sẽ giúp bạn tạo ấn tượng tốt trước nhà tuyển dụng</w:t>
      </w:r>
    </w:p>
    <w:p w:rsidR="00970BD1" w:rsidRDefault="00970BD1" w:rsidP="00970BD1">
      <w:pPr>
        <w:pStyle w:val="Heading2"/>
        <w:shd w:val="clear" w:color="auto" w:fill="FFFFFF"/>
        <w:spacing w:after="375"/>
        <w:rPr>
          <w:rFonts w:ascii="Arial" w:hAnsi="Arial" w:cs="Arial"/>
          <w:caps/>
          <w:color w:val="78142E"/>
          <w:spacing w:val="8"/>
          <w:sz w:val="42"/>
          <w:szCs w:val="42"/>
        </w:rPr>
      </w:pPr>
      <w:r>
        <w:rPr>
          <w:rFonts w:ascii="Arial" w:hAnsi="Arial" w:cs="Arial"/>
          <w:caps/>
          <w:color w:val="78142E"/>
          <w:spacing w:val="8"/>
          <w:sz w:val="42"/>
          <w:szCs w:val="42"/>
        </w:rPr>
        <w:t>4 KỸ NĂNG CẦN CÓ CỦA SINH VIÊN TRONG THỜI ĐẠI 4.0</w:t>
      </w:r>
    </w:p>
    <w:p w:rsidR="00970BD1" w:rsidRDefault="00970BD1" w:rsidP="00970BD1">
      <w:pPr>
        <w:pStyle w:val="NormalWeb"/>
        <w:shd w:val="clear" w:color="auto" w:fill="FFFFFF"/>
        <w:spacing w:before="300" w:beforeAutospacing="0" w:after="300" w:afterAutospacing="0"/>
        <w:rPr>
          <w:rFonts w:ascii="Muli" w:hAnsi="Muli"/>
          <w:color w:val="333333"/>
          <w:spacing w:val="8"/>
          <w:sz w:val="21"/>
          <w:szCs w:val="21"/>
        </w:rPr>
      </w:pPr>
      <w:r>
        <w:rPr>
          <w:rFonts w:ascii="Muli" w:hAnsi="Muli"/>
          <w:b/>
          <w:bCs/>
          <w:color w:val="333333"/>
          <w:spacing w:val="8"/>
          <w:sz w:val="21"/>
          <w:szCs w:val="21"/>
        </w:rPr>
        <w:t>Bạn có tin bạn có thể bị thay thế, đào thải khỏi công việc bạn đang làm bằng 1 “thế lực khác” nếu bạn không GIỎI hơn, XUẤT SẮC hơn hay không ?</w:t>
      </w:r>
      <w:r>
        <w:rPr>
          <w:rFonts w:ascii="Muli" w:hAnsi="Muli"/>
          <w:color w:val="333333"/>
          <w:spacing w:val="8"/>
          <w:sz w:val="21"/>
          <w:szCs w:val="21"/>
        </w:rPr>
        <w:t> “</w:t>
      </w:r>
    </w:p>
    <w:p w:rsidR="00970BD1" w:rsidRDefault="00970BD1" w:rsidP="00970BD1">
      <w:pPr>
        <w:pStyle w:val="NormalWeb"/>
        <w:shd w:val="clear" w:color="auto" w:fill="FFFFFF"/>
        <w:spacing w:before="300" w:beforeAutospacing="0" w:after="300" w:afterAutospacing="0"/>
        <w:rPr>
          <w:rFonts w:ascii="Muli" w:hAnsi="Muli"/>
          <w:color w:val="333333"/>
          <w:spacing w:val="8"/>
          <w:sz w:val="21"/>
          <w:szCs w:val="21"/>
        </w:rPr>
      </w:pPr>
      <w:r>
        <w:rPr>
          <w:rFonts w:ascii="Muli" w:hAnsi="Muli"/>
          <w:color w:val="333333"/>
          <w:spacing w:val="8"/>
          <w:sz w:val="21"/>
          <w:szCs w:val="21"/>
        </w:rPr>
        <w:lastRenderedPageBreak/>
        <w:t>Thế lực” đó chính là cuộc Cách mạng công nghệ 4.0. Để có thể hòa nhập và thành công trong thời đại “Cách mạng công nghệ 4.0”, ngoài trình độ chuyên môn, sinh viên cần phải có những kỹ năng thiết yếu khác: không chỉ là tiếng Anh mà còn có tư duy phản biện, sáng tạo và giao tiếp…</w:t>
      </w:r>
    </w:p>
    <w:p w:rsidR="00970BD1" w:rsidRDefault="00970BD1" w:rsidP="00970BD1">
      <w:pPr>
        <w:pStyle w:val="Heading2"/>
        <w:shd w:val="clear" w:color="auto" w:fill="FFFFFF"/>
        <w:rPr>
          <w:rFonts w:ascii="Muli" w:hAnsi="Muli"/>
          <w:color w:val="78142E"/>
          <w:spacing w:val="8"/>
          <w:sz w:val="42"/>
          <w:szCs w:val="42"/>
        </w:rPr>
      </w:pPr>
      <w:r>
        <w:rPr>
          <w:rFonts w:ascii="Muli" w:hAnsi="Muli"/>
          <w:color w:val="FF0000"/>
          <w:spacing w:val="8"/>
          <w:sz w:val="42"/>
          <w:szCs w:val="42"/>
        </w:rPr>
        <w:t>Sinh viên cần những kỹ năng gì trong thời đại 4.0?</w:t>
      </w:r>
    </w:p>
    <w:p w:rsidR="00970BD1" w:rsidRDefault="00970BD1" w:rsidP="00970BD1">
      <w:pPr>
        <w:pStyle w:val="NormalWeb"/>
        <w:shd w:val="clear" w:color="auto" w:fill="FFFFFF"/>
        <w:spacing w:before="300" w:beforeAutospacing="0" w:after="300" w:afterAutospacing="0"/>
        <w:rPr>
          <w:rFonts w:ascii="Muli" w:hAnsi="Muli"/>
          <w:color w:val="333333"/>
          <w:spacing w:val="8"/>
          <w:sz w:val="21"/>
          <w:szCs w:val="21"/>
        </w:rPr>
      </w:pPr>
      <w:r>
        <w:rPr>
          <w:rFonts w:ascii="Muli" w:hAnsi="Muli"/>
          <w:color w:val="333333"/>
          <w:spacing w:val="8"/>
          <w:sz w:val="21"/>
          <w:szCs w:val="21"/>
        </w:rPr>
        <w:t>Theo như định nghĩa của Tổ chức Đánh giá và Giảng dạy Các Kỹ năng của Thế kỷ 21, gọi tắt là AT21CS (Assessment and Teaching of 21 Century Skills) tại Đại học Melbourne (Úc), kỹ năng của thế kỷ 21 bao gồm 4 nhóm kỹ năng chính.</w:t>
      </w:r>
    </w:p>
    <w:p w:rsidR="00970BD1" w:rsidRDefault="00970BD1" w:rsidP="00970BD1">
      <w:pPr>
        <w:numPr>
          <w:ilvl w:val="0"/>
          <w:numId w:val="1"/>
        </w:numPr>
        <w:shd w:val="clear" w:color="auto" w:fill="FFFFFF"/>
        <w:spacing w:before="100" w:beforeAutospacing="1" w:after="300" w:line="240" w:lineRule="auto"/>
        <w:ind w:left="0"/>
        <w:rPr>
          <w:rFonts w:ascii="Arial" w:hAnsi="Arial" w:cs="Arial"/>
          <w:color w:val="9FA4A9"/>
          <w:spacing w:val="8"/>
          <w:sz w:val="21"/>
          <w:szCs w:val="21"/>
        </w:rPr>
      </w:pPr>
      <w:r>
        <w:rPr>
          <w:rFonts w:ascii="Arial" w:hAnsi="Arial" w:cs="Arial"/>
          <w:color w:val="9FA4A9"/>
          <w:spacing w:val="8"/>
          <w:sz w:val="21"/>
          <w:szCs w:val="21"/>
        </w:rPr>
        <w:t>Thứ nhất là nhóm </w:t>
      </w:r>
      <w:r>
        <w:rPr>
          <w:rStyle w:val="Strong"/>
          <w:rFonts w:ascii="Arial" w:hAnsi="Arial" w:cs="Arial"/>
          <w:color w:val="9FA4A9"/>
          <w:spacing w:val="8"/>
          <w:sz w:val="21"/>
          <w:szCs w:val="21"/>
        </w:rPr>
        <w:t>kỹ năng công nghệ thông tin và truyền thông (ICT) </w:t>
      </w:r>
      <w:r>
        <w:rPr>
          <w:rFonts w:ascii="Arial" w:hAnsi="Arial" w:cs="Arial"/>
          <w:color w:val="9FA4A9"/>
          <w:spacing w:val="8"/>
          <w:sz w:val="21"/>
          <w:szCs w:val="21"/>
        </w:rPr>
        <w:t>như năng lực giải quyết vấn đề dựa trên máy tính và các công cụ công nghệ.</w:t>
      </w:r>
    </w:p>
    <w:p w:rsidR="00970BD1" w:rsidRDefault="00970BD1" w:rsidP="00970BD1">
      <w:pPr>
        <w:numPr>
          <w:ilvl w:val="0"/>
          <w:numId w:val="1"/>
        </w:numPr>
        <w:shd w:val="clear" w:color="auto" w:fill="FFFFFF"/>
        <w:spacing w:before="100" w:beforeAutospacing="1" w:after="300" w:line="240" w:lineRule="auto"/>
        <w:ind w:left="0"/>
        <w:rPr>
          <w:rFonts w:ascii="Arial" w:hAnsi="Arial" w:cs="Arial"/>
          <w:color w:val="9FA4A9"/>
          <w:spacing w:val="8"/>
          <w:sz w:val="21"/>
          <w:szCs w:val="21"/>
        </w:rPr>
      </w:pPr>
      <w:r>
        <w:rPr>
          <w:rFonts w:ascii="Arial" w:hAnsi="Arial" w:cs="Arial"/>
          <w:color w:val="9FA4A9"/>
          <w:spacing w:val="8"/>
          <w:sz w:val="21"/>
          <w:szCs w:val="21"/>
        </w:rPr>
        <w:t>Thứ hai là nhóm các </w:t>
      </w:r>
      <w:r>
        <w:rPr>
          <w:rStyle w:val="Strong"/>
          <w:rFonts w:ascii="Arial" w:hAnsi="Arial" w:cs="Arial"/>
          <w:color w:val="9FA4A9"/>
          <w:spacing w:val="8"/>
          <w:sz w:val="21"/>
          <w:szCs w:val="21"/>
        </w:rPr>
        <w:t>kỹ năng tư duy</w:t>
      </w:r>
      <w:r>
        <w:rPr>
          <w:rFonts w:ascii="Arial" w:hAnsi="Arial" w:cs="Arial"/>
          <w:color w:val="9FA4A9"/>
          <w:spacing w:val="8"/>
          <w:sz w:val="21"/>
          <w:szCs w:val="21"/>
        </w:rPr>
        <w:t> như sức sáng tạo, tư duy phản biện, kỹ năng giải quyết vấn đề, kỹ năng ra quyết định, và khả năng tự học suốt đời.</w:t>
      </w:r>
    </w:p>
    <w:p w:rsidR="00970BD1" w:rsidRDefault="00970BD1" w:rsidP="00970BD1">
      <w:pPr>
        <w:numPr>
          <w:ilvl w:val="0"/>
          <w:numId w:val="1"/>
        </w:numPr>
        <w:shd w:val="clear" w:color="auto" w:fill="FFFFFF"/>
        <w:spacing w:before="100" w:beforeAutospacing="1" w:after="300" w:line="240" w:lineRule="auto"/>
        <w:ind w:left="0"/>
        <w:rPr>
          <w:rFonts w:ascii="Arial" w:hAnsi="Arial" w:cs="Arial"/>
          <w:color w:val="9FA4A9"/>
          <w:spacing w:val="8"/>
          <w:sz w:val="21"/>
          <w:szCs w:val="21"/>
        </w:rPr>
      </w:pPr>
      <w:r>
        <w:rPr>
          <w:rFonts w:ascii="Arial" w:hAnsi="Arial" w:cs="Arial"/>
          <w:color w:val="9FA4A9"/>
          <w:spacing w:val="8"/>
          <w:sz w:val="21"/>
          <w:szCs w:val="21"/>
        </w:rPr>
        <w:t>Thứ ba là nhóm </w:t>
      </w:r>
      <w:r>
        <w:rPr>
          <w:rStyle w:val="Strong"/>
          <w:rFonts w:ascii="Arial" w:hAnsi="Arial" w:cs="Arial"/>
          <w:color w:val="9FA4A9"/>
          <w:spacing w:val="8"/>
          <w:sz w:val="21"/>
          <w:szCs w:val="21"/>
        </w:rPr>
        <w:t>kỹ năng làm việc </w:t>
      </w:r>
      <w:r>
        <w:rPr>
          <w:rFonts w:ascii="Arial" w:hAnsi="Arial" w:cs="Arial"/>
          <w:color w:val="9FA4A9"/>
          <w:spacing w:val="8"/>
          <w:sz w:val="21"/>
          <w:szCs w:val="21"/>
        </w:rPr>
        <w:t>như khả năng giao tiếp và hợp tác làm việc theo nhóm.</w:t>
      </w:r>
    </w:p>
    <w:p w:rsidR="00970BD1" w:rsidRDefault="00970BD1" w:rsidP="00970BD1">
      <w:pPr>
        <w:numPr>
          <w:ilvl w:val="0"/>
          <w:numId w:val="1"/>
        </w:numPr>
        <w:shd w:val="clear" w:color="auto" w:fill="FFFFFF"/>
        <w:spacing w:before="100" w:beforeAutospacing="1" w:after="300" w:line="240" w:lineRule="auto"/>
        <w:ind w:left="0"/>
        <w:rPr>
          <w:rFonts w:ascii="Arial" w:hAnsi="Arial" w:cs="Arial"/>
          <w:color w:val="9FA4A9"/>
          <w:spacing w:val="8"/>
          <w:sz w:val="21"/>
          <w:szCs w:val="21"/>
        </w:rPr>
      </w:pPr>
      <w:r>
        <w:rPr>
          <w:rFonts w:ascii="Arial" w:hAnsi="Arial" w:cs="Arial"/>
          <w:color w:val="9FA4A9"/>
          <w:spacing w:val="8"/>
          <w:sz w:val="21"/>
          <w:szCs w:val="21"/>
        </w:rPr>
        <w:t>Cuối cùng là </w:t>
      </w:r>
      <w:r>
        <w:rPr>
          <w:rStyle w:val="Strong"/>
          <w:rFonts w:ascii="Arial" w:hAnsi="Arial" w:cs="Arial"/>
          <w:color w:val="9FA4A9"/>
          <w:spacing w:val="8"/>
          <w:sz w:val="21"/>
          <w:szCs w:val="21"/>
        </w:rPr>
        <w:t>kỹ năng sống (thích nghi) trong xã hội toàn cầu</w:t>
      </w:r>
      <w:r>
        <w:rPr>
          <w:rFonts w:ascii="Arial" w:hAnsi="Arial" w:cs="Arial"/>
          <w:color w:val="9FA4A9"/>
          <w:spacing w:val="8"/>
          <w:sz w:val="21"/>
          <w:szCs w:val="21"/>
        </w:rPr>
        <w:t>, bao gồm vấn đề ý thức công dân, cuộc sống và sự nghiệp, trách nhiệm cá nhân và xã hội, bao gồm cả vấn đề hiểu biết tính đa dạng văn hóa.</w:t>
      </w:r>
    </w:p>
    <w:p w:rsidR="00970BD1" w:rsidRDefault="00970BD1" w:rsidP="00970BD1">
      <w:pPr>
        <w:pStyle w:val="Heading3"/>
        <w:shd w:val="clear" w:color="auto" w:fill="FFFFFF"/>
        <w:rPr>
          <w:rFonts w:ascii="Muli" w:hAnsi="Muli"/>
          <w:color w:val="182F61"/>
          <w:spacing w:val="8"/>
          <w:sz w:val="36"/>
          <w:szCs w:val="36"/>
        </w:rPr>
      </w:pPr>
      <w:r>
        <w:rPr>
          <w:rFonts w:ascii="Muli" w:hAnsi="Muli"/>
          <w:color w:val="FF0000"/>
          <w:spacing w:val="8"/>
          <w:sz w:val="36"/>
          <w:szCs w:val="36"/>
        </w:rPr>
        <w:t>1. Kỹ năng sáng tạo (Creative Skill)</w:t>
      </w:r>
    </w:p>
    <w:p w:rsidR="00970BD1" w:rsidRDefault="00970BD1" w:rsidP="00970BD1">
      <w:pPr>
        <w:pStyle w:val="NormalWeb"/>
        <w:shd w:val="clear" w:color="auto" w:fill="FFFFFF"/>
        <w:spacing w:before="300" w:beforeAutospacing="0" w:after="300" w:afterAutospacing="0"/>
        <w:rPr>
          <w:rFonts w:ascii="Muli" w:hAnsi="Muli"/>
          <w:color w:val="333333"/>
          <w:spacing w:val="8"/>
          <w:sz w:val="21"/>
          <w:szCs w:val="21"/>
        </w:rPr>
      </w:pPr>
      <w:r>
        <w:rPr>
          <w:rFonts w:ascii="Muli" w:hAnsi="Muli"/>
          <w:color w:val="333333"/>
          <w:spacing w:val="8"/>
          <w:sz w:val="21"/>
          <w:szCs w:val="21"/>
        </w:rPr>
        <w:t>Cũng giống như sự tự tin, sáng tạo là kết quả của một quá trình rèn luyện, học hỏi, phát triển kỹ năng.</w:t>
      </w:r>
    </w:p>
    <w:p w:rsidR="00970BD1" w:rsidRDefault="00970BD1" w:rsidP="00970BD1">
      <w:pPr>
        <w:pStyle w:val="NormalWeb"/>
        <w:shd w:val="clear" w:color="auto" w:fill="FFFFFF"/>
        <w:spacing w:before="300" w:beforeAutospacing="0" w:after="300" w:afterAutospacing="0"/>
        <w:rPr>
          <w:rFonts w:ascii="Muli" w:hAnsi="Muli"/>
          <w:color w:val="333333"/>
          <w:spacing w:val="8"/>
          <w:sz w:val="21"/>
          <w:szCs w:val="21"/>
        </w:rPr>
      </w:pPr>
      <w:r>
        <w:rPr>
          <w:rFonts w:ascii="Muli" w:hAnsi="Muli"/>
          <w:color w:val="333333"/>
          <w:spacing w:val="8"/>
          <w:sz w:val="21"/>
          <w:szCs w:val="21"/>
        </w:rPr>
        <w:t>Có khả năng sáng tạo, bạn sẽ bẻ gãy tư duy đóng khung (fixed mind), luôn tìm tòi và phát hiện ra các khía cạnh mới của vấn đề, chủ động giải quyết vấn đề hiệu quả hơn.</w:t>
      </w:r>
    </w:p>
    <w:p w:rsidR="00970BD1" w:rsidRDefault="00970BD1" w:rsidP="00970BD1">
      <w:pPr>
        <w:pStyle w:val="NormalWeb"/>
        <w:shd w:val="clear" w:color="auto" w:fill="FFFFFF"/>
        <w:spacing w:before="300" w:beforeAutospacing="0" w:after="300" w:afterAutospacing="0"/>
        <w:rPr>
          <w:rFonts w:ascii="Muli" w:hAnsi="Muli"/>
          <w:color w:val="333333"/>
          <w:spacing w:val="8"/>
          <w:sz w:val="21"/>
          <w:szCs w:val="21"/>
        </w:rPr>
      </w:pPr>
      <w:r>
        <w:rPr>
          <w:rFonts w:ascii="Muli" w:hAnsi="Muli"/>
          <w:color w:val="333333"/>
          <w:spacing w:val="8"/>
          <w:sz w:val="21"/>
          <w:szCs w:val="21"/>
        </w:rPr>
        <w:t>Sinh viên VNUK luôn được hỗ trợ tối đa để được sáng tạo, phát triển bản thân một cách toàn diện thông qua nhiều hoạt động ngoại khoá, hoạt động được tích hợp trong chương trình giảng dạy…</w:t>
      </w:r>
    </w:p>
    <w:p w:rsidR="00970BD1" w:rsidRDefault="00970BD1" w:rsidP="00970BD1">
      <w:pPr>
        <w:pStyle w:val="NormalWeb"/>
        <w:shd w:val="clear" w:color="auto" w:fill="FFFFFF"/>
        <w:spacing w:before="300" w:beforeAutospacing="0" w:after="300" w:afterAutospacing="0"/>
        <w:rPr>
          <w:rFonts w:ascii="Muli" w:hAnsi="Muli"/>
          <w:color w:val="333333"/>
          <w:spacing w:val="8"/>
          <w:sz w:val="21"/>
          <w:szCs w:val="21"/>
        </w:rPr>
      </w:pPr>
      <w:r>
        <w:rPr>
          <w:rFonts w:ascii="Muli" w:hAnsi="Muli"/>
          <w:color w:val="333333"/>
          <w:spacing w:val="8"/>
          <w:sz w:val="21"/>
          <w:szCs w:val="21"/>
        </w:rPr>
        <w:t>Tại VNUK, nội dung chương trình giảng dạy, phương pháp giảng dạy cũng như các dịch vụ hỗ trợ. Cụ thể, về nội dung chương trình giáo dục khởi nghiệp, VNUK áp dụng nội dung tích hợp gồm hai cấu phần là Tư duy thiết kế và khởi nghiệp tinh gọn. Học phần khởi nghiệp được giảng dạy trong năm 1 cho sinh viên tất cả các khối ngành gồm Kinh doanh quốc tế, Khoa học Y sinh và Khoa học và Kỹ thuật máy tính. Việc giảng dạy được triển khai kết hợp một phần lý thuyết còn phần lớn dành cho việc thực hành. Sinh viên tiếp xúc với đối tượng khách hàng mục tiêu trong suốt quá trình phát triển dự án. Kết thúc học phần, các nhóm trình bày dự án trước các chuyên gia mời từ vườn ươm doanh nghiệp, các công ty khởi nghiệp trên địa bàn, các chuyên gia về khởi nghiệp.</w:t>
      </w:r>
    </w:p>
    <w:p w:rsidR="00970BD1" w:rsidRDefault="00970BD1">
      <w:pPr>
        <w:rPr>
          <w:rFonts w:ascii="Muli" w:hAnsi="Muli"/>
          <w:color w:val="333333"/>
          <w:spacing w:val="8"/>
          <w:sz w:val="21"/>
          <w:szCs w:val="21"/>
          <w:shd w:val="clear" w:color="auto" w:fill="FFFFFF"/>
        </w:rPr>
      </w:pPr>
      <w:r>
        <w:rPr>
          <w:rFonts w:ascii="Muli" w:hAnsi="Muli"/>
          <w:color w:val="333333"/>
          <w:spacing w:val="8"/>
          <w:sz w:val="21"/>
          <w:szCs w:val="21"/>
          <w:shd w:val="clear" w:color="auto" w:fill="FFFFFF"/>
        </w:rPr>
        <w:t xml:space="preserve">Ngoài việc giảng dạy, VNUK cũng tổ chức các cuộc thi khởi nghiệp về khởi nghiệp trong sinh viên, trong học sinh THPT trên địa bàn thành phố, tạo môi trường cho sự trao đổi về ý tưởng giữa học sinh sinh viên và giảng viên, nâng cao kinh nghiệm và năng lực cho giảng viên trong việc tư vấn, huấn </w:t>
      </w:r>
      <w:r>
        <w:rPr>
          <w:rFonts w:ascii="Muli" w:hAnsi="Muli"/>
          <w:color w:val="333333"/>
          <w:spacing w:val="8"/>
          <w:sz w:val="21"/>
          <w:szCs w:val="21"/>
          <w:shd w:val="clear" w:color="auto" w:fill="FFFFFF"/>
        </w:rPr>
        <w:lastRenderedPageBreak/>
        <w:t>luyện, từ đó nâng cao khả năng hỗ trợ khởi nghiệp của đội ngũ giảng viên tại VNUK. Đây cũng là một yếu tố quan trọng trong việc thúc đẩy chương trình giáo dục đổi mới sáng tạo trong trường đại học mà VNUK luôn chú trọng phát triển.</w:t>
      </w:r>
    </w:p>
    <w:p w:rsidR="00970BD1" w:rsidRDefault="00970BD1" w:rsidP="00970BD1">
      <w:pPr>
        <w:pStyle w:val="Heading3"/>
        <w:shd w:val="clear" w:color="auto" w:fill="FFFFFF"/>
        <w:rPr>
          <w:rFonts w:ascii="Muli" w:hAnsi="Muli"/>
          <w:color w:val="182F61"/>
          <w:spacing w:val="8"/>
          <w:sz w:val="36"/>
          <w:szCs w:val="36"/>
        </w:rPr>
      </w:pPr>
      <w:r>
        <w:rPr>
          <w:rFonts w:ascii="Muli" w:hAnsi="Muli"/>
          <w:color w:val="FF0000"/>
          <w:spacing w:val="8"/>
          <w:sz w:val="36"/>
          <w:szCs w:val="36"/>
        </w:rPr>
        <w:t>2. Kỹ năng Tư duy phản biện (Critical Thinking)</w:t>
      </w:r>
    </w:p>
    <w:p w:rsidR="00970BD1" w:rsidRDefault="00970BD1" w:rsidP="00970BD1">
      <w:pPr>
        <w:pStyle w:val="NormalWeb"/>
        <w:shd w:val="clear" w:color="auto" w:fill="FFFFFF"/>
        <w:spacing w:before="300" w:beforeAutospacing="0" w:after="300" w:afterAutospacing="0"/>
        <w:rPr>
          <w:rFonts w:ascii="Muli" w:hAnsi="Muli"/>
          <w:color w:val="333333"/>
          <w:spacing w:val="8"/>
          <w:sz w:val="21"/>
          <w:szCs w:val="21"/>
        </w:rPr>
      </w:pPr>
      <w:r>
        <w:rPr>
          <w:rFonts w:ascii="Muli" w:hAnsi="Muli"/>
          <w:color w:val="333333"/>
          <w:spacing w:val="8"/>
          <w:sz w:val="21"/>
          <w:szCs w:val="21"/>
        </w:rPr>
        <w:t>Mặc dù đã xuất hiện từ rất lâu, nhưng gần đây tư duy phản biện mới thật sự được quan tâm tại Việt Nam. Nó cũng chính là một điểm yếu “chết người” mà rất nhiều người mắc phải. Nói một cách dễ hiểu, khi bạn không có tư duy (tinh thần) phản biện, bạn làm việc như một cái máy, bạn lắng nghe như một con robot. Sếp nói gì bạn làm nấy. Trong cuộc thảo luận, bạn chỉ biết nghe ý kiến của người khác, sau đó làm theo mà không có lập trường hay ý kiến của riêng mình.</w:t>
      </w:r>
    </w:p>
    <w:p w:rsidR="00970BD1" w:rsidRDefault="00970BD1" w:rsidP="00970BD1">
      <w:pPr>
        <w:pStyle w:val="NormalWeb"/>
        <w:shd w:val="clear" w:color="auto" w:fill="FFFFFF"/>
        <w:spacing w:before="300" w:beforeAutospacing="0" w:after="300" w:afterAutospacing="0"/>
        <w:rPr>
          <w:rFonts w:ascii="Muli" w:hAnsi="Muli"/>
          <w:color w:val="333333"/>
          <w:spacing w:val="8"/>
          <w:sz w:val="21"/>
          <w:szCs w:val="21"/>
        </w:rPr>
      </w:pPr>
      <w:r>
        <w:rPr>
          <w:rFonts w:ascii="Muli" w:hAnsi="Muli"/>
          <w:color w:val="333333"/>
          <w:spacing w:val="8"/>
          <w:sz w:val="21"/>
          <w:szCs w:val="21"/>
        </w:rPr>
        <w:t>Trong thời đại Cách mạng công nghệ 4.0, bạn không thể như 1 cái máy. Bạn phải có ý kiến, quan điểm, tư duy, sự sáng tạo của riêng mình.</w:t>
      </w:r>
    </w:p>
    <w:p w:rsidR="00970BD1" w:rsidRDefault="00970BD1" w:rsidP="00970BD1">
      <w:pPr>
        <w:pStyle w:val="NormalWeb"/>
        <w:shd w:val="clear" w:color="auto" w:fill="FFFFFF"/>
        <w:spacing w:before="300" w:beforeAutospacing="0" w:after="300" w:afterAutospacing="0"/>
        <w:rPr>
          <w:rFonts w:ascii="Muli" w:hAnsi="Muli"/>
          <w:color w:val="333333"/>
          <w:spacing w:val="8"/>
          <w:sz w:val="21"/>
          <w:szCs w:val="21"/>
        </w:rPr>
      </w:pPr>
      <w:r>
        <w:rPr>
          <w:rStyle w:val="Strong"/>
          <w:rFonts w:ascii="Muli" w:eastAsiaTheme="majorEastAsia" w:hAnsi="Muli"/>
          <w:color w:val="333333"/>
          <w:spacing w:val="8"/>
          <w:sz w:val="21"/>
          <w:szCs w:val="21"/>
        </w:rPr>
        <w:t>Hiểu một cách đơn giản, bạn phải có tư duy chất vấn, đóng góp, phản biện (phản bác) lại những gì bạn cho là có thể khác, có thể có cách giải quyết khác.</w:t>
      </w:r>
    </w:p>
    <w:p w:rsidR="00970BD1" w:rsidRDefault="00970BD1" w:rsidP="00970BD1">
      <w:pPr>
        <w:pStyle w:val="NormalWeb"/>
        <w:shd w:val="clear" w:color="auto" w:fill="FFFFFF"/>
        <w:spacing w:before="300" w:beforeAutospacing="0" w:after="300" w:afterAutospacing="0"/>
        <w:rPr>
          <w:rFonts w:ascii="Muli" w:hAnsi="Muli"/>
          <w:color w:val="333333"/>
          <w:spacing w:val="8"/>
          <w:sz w:val="21"/>
          <w:szCs w:val="21"/>
        </w:rPr>
      </w:pPr>
      <w:r>
        <w:rPr>
          <w:rFonts w:ascii="Muli" w:hAnsi="Muli"/>
          <w:color w:val="333333"/>
          <w:spacing w:val="8"/>
          <w:sz w:val="21"/>
          <w:szCs w:val="21"/>
        </w:rPr>
        <w:t>Việc rèn luyện tư duy phản biện là vô cùng cần thiết, bởi nhờ có tư duy phản biện, bạn sẽ hình thành thói quen, biết cách tiếp cận vấn đề đa chiều, linh hoạt; có khả năng quan sát, phân tích và nhìn nhận thấu đáo, từ đó dễ thích nghi trước mọi đổi thay trong cuộc sống, công việc.</w:t>
      </w:r>
    </w:p>
    <w:p w:rsidR="00970BD1" w:rsidRDefault="00970BD1">
      <w:pPr>
        <w:rPr>
          <w:rStyle w:val="Emphasis"/>
          <w:rFonts w:ascii="Muli" w:hAnsi="Muli"/>
          <w:color w:val="333333"/>
          <w:spacing w:val="8"/>
          <w:sz w:val="21"/>
          <w:szCs w:val="21"/>
          <w:shd w:val="clear" w:color="auto" w:fill="FFFFFF"/>
        </w:rPr>
      </w:pPr>
      <w:r>
        <w:rPr>
          <w:rStyle w:val="Strong"/>
          <w:rFonts w:ascii="Muli" w:hAnsi="Muli"/>
          <w:color w:val="333333"/>
          <w:spacing w:val="8"/>
          <w:sz w:val="21"/>
          <w:szCs w:val="21"/>
          <w:shd w:val="clear" w:color="auto" w:fill="FFFFFF"/>
        </w:rPr>
        <w:t>TS Nguyễn Thị Mỹ Hương – Phó Viện trưởng phụ trách Viện Nghiên cứu và Đào tạo Việt – Anh (VNUK – ĐH Đà Nẵng)</w:t>
      </w:r>
      <w:r>
        <w:rPr>
          <w:rFonts w:ascii="Muli" w:hAnsi="Muli"/>
          <w:color w:val="333333"/>
          <w:spacing w:val="8"/>
          <w:sz w:val="21"/>
          <w:szCs w:val="21"/>
          <w:shd w:val="clear" w:color="auto" w:fill="FFFFFF"/>
        </w:rPr>
        <w:t> nhận xét: </w:t>
      </w:r>
      <w:r>
        <w:rPr>
          <w:rStyle w:val="Emphasis"/>
          <w:rFonts w:ascii="Muli" w:hAnsi="Muli"/>
          <w:color w:val="333333"/>
          <w:spacing w:val="8"/>
          <w:sz w:val="21"/>
          <w:szCs w:val="21"/>
          <w:shd w:val="clear" w:color="auto" w:fill="FFFFFF"/>
        </w:rPr>
        <w:t>“Sẽ là không đủ nếu trường ĐH chỉ trang bị một số kỹ năng nghề nghiệp bởi các yêu cầu kỹ năng từ nhà tuyển dụng có thể thay đổi theo thời gian khi công nghệ cũng như thị trường lao động toàn cầu thay đổi nhanh chóng. Có thể thấy điều này dễ dàng qua top 10 kỹ năng nghề nghiệp được điều chỉnh qua mỗi 5 năm của Diễn đàn Kinh tế Thế giới. Trong khi đó, với tư duy cởi mở, tinh thần sẵn sàng học hỏi, thái độ chuyên nghiệp, chịu trách nhiệm về bản thân và đối với xã hội, người lao động sẽ dễ dàng thích nghi trong mọi bối cảnh thay đổi của thị trường lao động”</w:t>
      </w:r>
    </w:p>
    <w:p w:rsidR="00970BD1" w:rsidRPr="00970BD1" w:rsidRDefault="00970BD1" w:rsidP="00970BD1">
      <w:pPr>
        <w:shd w:val="clear" w:color="auto" w:fill="FFFFFF"/>
        <w:spacing w:before="300" w:after="300" w:line="240" w:lineRule="auto"/>
        <w:rPr>
          <w:rFonts w:ascii="Muli" w:eastAsia="Times New Roman" w:hAnsi="Muli" w:cs="Times New Roman"/>
          <w:color w:val="333333"/>
          <w:spacing w:val="8"/>
          <w:sz w:val="21"/>
          <w:szCs w:val="21"/>
        </w:rPr>
      </w:pPr>
      <w:r w:rsidRPr="00970BD1">
        <w:rPr>
          <w:rFonts w:ascii="Muli" w:eastAsia="Times New Roman" w:hAnsi="Muli" w:cs="Times New Roman"/>
          <w:color w:val="333333"/>
          <w:spacing w:val="8"/>
          <w:sz w:val="21"/>
          <w:szCs w:val="21"/>
        </w:rPr>
        <w:t>Theo TS Nguyễn Thị Mỹ Hương, để trang bị và nâng cao kỹ năng nghề nghiệp, bảo đảm có việc làm tốt sau khi tốt nghiệp đòi hỏi nỗ lực liên tục của SV trong suốt quá trình học tập tại trường cũng như sự hỗ trợ tích cực của nhà trường và doanh nghiệp. “Sự kết nối và hỗ trợ của doanh nghiệp với cơ sở giáo dục ĐH trong hình thành và tích lũy kỹ năng nghề nghiệp cho SV phải được thực hiện sớm, ngay từ năm thứ nhất.</w:t>
      </w:r>
    </w:p>
    <w:p w:rsidR="00970BD1" w:rsidRPr="00970BD1" w:rsidRDefault="00970BD1" w:rsidP="00970BD1">
      <w:pPr>
        <w:shd w:val="clear" w:color="auto" w:fill="FFFFFF"/>
        <w:spacing w:before="300" w:after="300" w:line="240" w:lineRule="auto"/>
        <w:rPr>
          <w:rFonts w:ascii="Muli" w:eastAsia="Times New Roman" w:hAnsi="Muli" w:cs="Times New Roman"/>
          <w:color w:val="333333"/>
          <w:spacing w:val="8"/>
          <w:sz w:val="21"/>
          <w:szCs w:val="21"/>
        </w:rPr>
      </w:pPr>
      <w:r w:rsidRPr="00970BD1">
        <w:rPr>
          <w:rFonts w:ascii="Muli" w:eastAsia="Times New Roman" w:hAnsi="Muli" w:cs="Times New Roman"/>
          <w:color w:val="333333"/>
          <w:spacing w:val="8"/>
          <w:sz w:val="21"/>
          <w:szCs w:val="21"/>
        </w:rPr>
        <w:t>Trong phỏng vấn tuyển dụng, các doanh nghiệp thường yêu cầu người ứng tuyển phải có kinh nghiệm và điều này thường hay bị phản ứng là SV mới ra trường thì lấy đâu ra kinh nghiệm. Nhưng chúng tôi nghĩ khác, SV có cơ hội tích lũy kỹ năng và kinh nghiệm trong suốt 4 năm học ĐH thông qua cách thức học tập dựa trên công việc thực tế. Vị trí công việc của các tân kỹ sư, tân cử nhân sẽ phụ thuộc rất nhiều vào kinh nghiệm mà các bạn có được trong 4 năm làm SV” – TS Mỹ Hương chia sẻ.</w:t>
      </w:r>
    </w:p>
    <w:p w:rsidR="00970BD1" w:rsidRDefault="00970BD1">
      <w:pPr>
        <w:rPr>
          <w:rFonts w:ascii="Muli" w:hAnsi="Muli"/>
          <w:color w:val="333333"/>
          <w:spacing w:val="8"/>
          <w:sz w:val="21"/>
          <w:szCs w:val="21"/>
          <w:shd w:val="clear" w:color="auto" w:fill="FFFFFF"/>
        </w:rPr>
      </w:pPr>
      <w:r>
        <w:rPr>
          <w:rFonts w:ascii="Muli" w:hAnsi="Muli"/>
          <w:color w:val="333333"/>
          <w:spacing w:val="8"/>
          <w:sz w:val="21"/>
          <w:szCs w:val="21"/>
          <w:shd w:val="clear" w:color="auto" w:fill="FFFFFF"/>
        </w:rPr>
        <w:t xml:space="preserve">Ngay từ năm thứ nhất, SV của VNUK được trang bị kỹ năng nghề nghiệp trong một số học phần cơ bản như giao tiếp, máy tính, làm việc nhóm và tự tạo động lực (thuộc học phần Lập kế hoạch phát triển bản thân), kỹ năng tự học, quản lí thời gian, tìm kiếm thông tin phục vụ học tập (thuộc học phần Kỹ năng học thuật). Đây là những yếu tố để đảm bảo SV có khả năng tiếp thu kiến thức và phát triển </w:t>
      </w:r>
      <w:r>
        <w:rPr>
          <w:rFonts w:ascii="Muli" w:hAnsi="Muli"/>
          <w:color w:val="333333"/>
          <w:spacing w:val="8"/>
          <w:sz w:val="21"/>
          <w:szCs w:val="21"/>
          <w:shd w:val="clear" w:color="auto" w:fill="FFFFFF"/>
        </w:rPr>
        <w:lastRenderedPageBreak/>
        <w:t>nền tảng nghề nghiệp trong giai đoạn sau này. Các kỹ năng này tiếp tục được nâng cao, tích hợp kỹ lưỡng vào từng học phần chuyên ngành trong giai đoạn tiếp theo.</w:t>
      </w:r>
    </w:p>
    <w:p w:rsidR="00970BD1" w:rsidRDefault="00970BD1" w:rsidP="00970BD1">
      <w:pPr>
        <w:pStyle w:val="Heading3"/>
        <w:shd w:val="clear" w:color="auto" w:fill="FFFFFF"/>
        <w:rPr>
          <w:rFonts w:ascii="Muli" w:hAnsi="Muli"/>
          <w:color w:val="182F61"/>
          <w:spacing w:val="8"/>
          <w:sz w:val="36"/>
          <w:szCs w:val="36"/>
        </w:rPr>
      </w:pPr>
      <w:r>
        <w:rPr>
          <w:rFonts w:ascii="Muli" w:hAnsi="Muli"/>
          <w:color w:val="FF0000"/>
          <w:spacing w:val="8"/>
          <w:sz w:val="36"/>
          <w:szCs w:val="36"/>
        </w:rPr>
        <w:t>. Kỹ năng giao tiếp </w:t>
      </w:r>
    </w:p>
    <w:p w:rsidR="00970BD1" w:rsidRDefault="00970BD1" w:rsidP="00970BD1">
      <w:pPr>
        <w:pStyle w:val="NormalWeb"/>
        <w:shd w:val="clear" w:color="auto" w:fill="FFFFFF"/>
        <w:spacing w:before="300" w:beforeAutospacing="0" w:after="300" w:afterAutospacing="0"/>
        <w:rPr>
          <w:rFonts w:ascii="Muli" w:hAnsi="Muli" w:cs="Arial"/>
          <w:color w:val="333333"/>
          <w:spacing w:val="8"/>
          <w:sz w:val="21"/>
          <w:szCs w:val="21"/>
        </w:rPr>
      </w:pPr>
      <w:r>
        <w:rPr>
          <w:rFonts w:ascii="Muli" w:hAnsi="Muli" w:cs="Arial"/>
          <w:color w:val="333333"/>
          <w:spacing w:val="8"/>
          <w:sz w:val="21"/>
          <w:szCs w:val="21"/>
        </w:rPr>
        <w:t>Trong hầu hết các nghiên cứu về kỹ năng mềm, kỹ năng giao tiếp được chỉ ra như là kỹ năng quan trọng nhất. Kỹ năng giao tiếp bao gồm cả kỹ năng nói và viết – khả năng của bạn thể hiện ở những thứ bạn viết ra và  những thứ bạn nói ra. Đây không phải là một phát hiện bất ngờ bởi kỹ năng giao tiếp rất phổ biến. Bạn không thể thực sự thành công trong cuộc sống nếu bạn không giỏi trong việc thể hiện và giải thích mọi thứ.</w:t>
      </w:r>
    </w:p>
    <w:p w:rsidR="00970BD1" w:rsidRDefault="00970BD1" w:rsidP="00970BD1">
      <w:pPr>
        <w:pStyle w:val="NormalWeb"/>
        <w:shd w:val="clear" w:color="auto" w:fill="FFFFFF"/>
        <w:spacing w:before="300" w:beforeAutospacing="0" w:after="300" w:afterAutospacing="0"/>
        <w:rPr>
          <w:rFonts w:ascii="Muli" w:hAnsi="Muli" w:cs="Arial"/>
          <w:color w:val="333333"/>
          <w:spacing w:val="8"/>
          <w:sz w:val="21"/>
          <w:szCs w:val="21"/>
        </w:rPr>
      </w:pPr>
      <w:r>
        <w:rPr>
          <w:rFonts w:ascii="Muli" w:hAnsi="Muli" w:cs="Arial"/>
          <w:color w:val="333333"/>
          <w:spacing w:val="8"/>
          <w:sz w:val="21"/>
          <w:szCs w:val="21"/>
        </w:rPr>
        <w:t>Đối với ứng viên ngày nay, khả năng giao tiếp là điều cần thiết để nâng cao cơ hội thăng tiến trong sự nghiệp. Bạn cần có khả năng giao tiếp rõ ràng và lịch sự. Điều quan trọng là phải truyền tải thông điệp của bạn qua các cách sao cho mọi người có thể hiểu được.</w:t>
      </w:r>
    </w:p>
    <w:p w:rsidR="00970BD1" w:rsidRDefault="00970BD1" w:rsidP="00970BD1">
      <w:pPr>
        <w:pStyle w:val="NormalWeb"/>
        <w:shd w:val="clear" w:color="auto" w:fill="FFFFFF"/>
        <w:spacing w:before="300" w:beforeAutospacing="0" w:after="300" w:afterAutospacing="0"/>
        <w:rPr>
          <w:rFonts w:ascii="Muli" w:hAnsi="Muli" w:cs="Arial"/>
          <w:color w:val="333333"/>
          <w:spacing w:val="8"/>
          <w:sz w:val="21"/>
          <w:szCs w:val="21"/>
        </w:rPr>
      </w:pPr>
      <w:r>
        <w:rPr>
          <w:rFonts w:ascii="Muli" w:hAnsi="Muli" w:cs="Arial"/>
          <w:color w:val="333333"/>
          <w:spacing w:val="8"/>
          <w:sz w:val="21"/>
          <w:szCs w:val="21"/>
        </w:rPr>
        <w:t>Bạn phải tập trung vào kỹ năng nói và viết. Bạn có thể tìm thấy các mẹo giao tiếp tuyệt vời từ video trên YouTube dưới đây của Brian Tracy:</w:t>
      </w:r>
    </w:p>
    <w:p w:rsidR="00970BD1" w:rsidRPr="00970BD1" w:rsidRDefault="00970BD1" w:rsidP="00970BD1">
      <w:pPr>
        <w:shd w:val="clear" w:color="auto" w:fill="FFFFFF"/>
        <w:spacing w:before="300" w:after="300" w:line="240" w:lineRule="auto"/>
        <w:rPr>
          <w:rFonts w:ascii="Muli" w:eastAsia="Times New Roman" w:hAnsi="Muli" w:cs="Times New Roman"/>
          <w:color w:val="333333"/>
          <w:spacing w:val="8"/>
          <w:sz w:val="21"/>
          <w:szCs w:val="21"/>
        </w:rPr>
      </w:pPr>
      <w:r w:rsidRPr="00970BD1">
        <w:rPr>
          <w:rFonts w:ascii="Muli" w:eastAsia="Times New Roman" w:hAnsi="Muli" w:cs="Times New Roman"/>
          <w:color w:val="333333"/>
          <w:spacing w:val="8"/>
          <w:sz w:val="21"/>
          <w:szCs w:val="21"/>
        </w:rPr>
        <w:t>Nhưng tập trung vào những kỹ năng giao tiếp bị động cũng rất quan trọng. Đó chính là nâng cao kỹ năng nghe của bạn – bạn cần phải biết cách lắng nghe mọi người nói thay vì chỉ chăm chăm đợi đến lượt của mình.</w:t>
      </w:r>
    </w:p>
    <w:p w:rsidR="00970BD1" w:rsidRPr="00970BD1" w:rsidRDefault="00970BD1" w:rsidP="00970BD1">
      <w:pPr>
        <w:shd w:val="clear" w:color="auto" w:fill="FFFFFF"/>
        <w:spacing w:before="300" w:after="300" w:line="240" w:lineRule="auto"/>
        <w:rPr>
          <w:rFonts w:ascii="Muli" w:eastAsia="Times New Roman" w:hAnsi="Muli" w:cs="Times New Roman"/>
          <w:color w:val="333333"/>
          <w:spacing w:val="8"/>
          <w:sz w:val="21"/>
          <w:szCs w:val="21"/>
        </w:rPr>
      </w:pPr>
      <w:r w:rsidRPr="00970BD1">
        <w:rPr>
          <w:rFonts w:ascii="Muli" w:eastAsia="Times New Roman" w:hAnsi="Muli" w:cs="Times New Roman"/>
          <w:color w:val="333333"/>
          <w:spacing w:val="8"/>
          <w:sz w:val="21"/>
          <w:szCs w:val="21"/>
        </w:rPr>
        <w:t>Hơn nữa, kỹ năng giao tiếp cũng bao gồm ngôn ngữ cơ thể. Ngôn ngữ cơ thể của bạn có thể đóng một vai trò quan trọng trong việc mọi người có thể hiểu thông điệp của bạn đến đâu.</w:t>
      </w:r>
    </w:p>
    <w:p w:rsidR="00970BD1" w:rsidRDefault="00970BD1" w:rsidP="00970BD1">
      <w:pPr>
        <w:pStyle w:val="Heading3"/>
        <w:shd w:val="clear" w:color="auto" w:fill="FFFFFF"/>
        <w:rPr>
          <w:rFonts w:ascii="Muli" w:hAnsi="Muli"/>
          <w:color w:val="182F61"/>
          <w:spacing w:val="8"/>
          <w:sz w:val="36"/>
          <w:szCs w:val="36"/>
        </w:rPr>
      </w:pPr>
      <w:r>
        <w:rPr>
          <w:rFonts w:ascii="Muli" w:hAnsi="Muli"/>
          <w:color w:val="FF0000"/>
          <w:spacing w:val="8"/>
          <w:sz w:val="36"/>
          <w:szCs w:val="36"/>
        </w:rPr>
        <w:t>4. Kỹ năng giải quyết vấn đề</w:t>
      </w:r>
    </w:p>
    <w:p w:rsidR="00970BD1" w:rsidRDefault="00970BD1" w:rsidP="00970BD1">
      <w:pPr>
        <w:pStyle w:val="NormalWeb"/>
        <w:shd w:val="clear" w:color="auto" w:fill="FFFFFF"/>
        <w:spacing w:before="300" w:beforeAutospacing="0" w:after="300" w:afterAutospacing="0"/>
        <w:rPr>
          <w:rFonts w:ascii="Muli" w:hAnsi="Muli"/>
          <w:color w:val="333333"/>
          <w:spacing w:val="8"/>
          <w:sz w:val="21"/>
          <w:szCs w:val="21"/>
        </w:rPr>
      </w:pPr>
      <w:r>
        <w:rPr>
          <w:rFonts w:ascii="Muli" w:hAnsi="Muli"/>
          <w:color w:val="333333"/>
          <w:spacing w:val="8"/>
          <w:sz w:val="21"/>
          <w:szCs w:val="21"/>
        </w:rPr>
        <w:t>Công nghệ phát triển nhanh chóng, khiến cho các công việc đơn giản ngày một được tự động hoá nhiều. Để được săn đón trong thị trường lao động, người trẻ cần có khả năng giải quyết các vấn đề phức tạp. Đó là khả năng tìm ra được lời giải thuyết phục cho các vấn đề thực tế đòi hỏi tư duy mới mẻ, sáng tạo mà máy móc không thể xử lý được. Ví dụ như lên chiến lược cho nhiều năm tới của công ty, phát triển sản phẩm mới, đề xuất chiến dịch truyền thông sáng tạo…</w:t>
      </w:r>
    </w:p>
    <w:p w:rsidR="00970BD1" w:rsidRDefault="00970BD1">
      <w:pPr>
        <w:rPr>
          <w:rFonts w:ascii="Muli" w:hAnsi="Muli"/>
          <w:color w:val="333333"/>
          <w:spacing w:val="8"/>
          <w:sz w:val="21"/>
          <w:szCs w:val="21"/>
          <w:shd w:val="clear" w:color="auto" w:fill="FFFFFF"/>
        </w:rPr>
      </w:pPr>
      <w:r>
        <w:rPr>
          <w:rFonts w:ascii="Muli" w:hAnsi="Muli"/>
          <w:color w:val="333333"/>
          <w:spacing w:val="8"/>
          <w:sz w:val="21"/>
          <w:szCs w:val="21"/>
          <w:shd w:val="clear" w:color="auto" w:fill="FFFFFF"/>
        </w:rPr>
        <w:t>Là một trong những thành viên của Đại học Đà Nẵng, Viện Nghiên cứu và Đào tạo Việt – Anh được xây dựng dựa trên thỏa thuận hợp tác giữa hai chính phủ Việt Nam và Anh quốc nhằm quốc tế hóa đại học công lập Việt Nam theo chủ trương của Chính phủ. VNUK tự hào là </w:t>
      </w:r>
      <w:r>
        <w:rPr>
          <w:rFonts w:ascii="Muli" w:hAnsi="Muli"/>
          <w:b/>
          <w:bCs/>
          <w:color w:val="333333"/>
          <w:spacing w:val="8"/>
          <w:sz w:val="21"/>
          <w:szCs w:val="21"/>
          <w:shd w:val="clear" w:color="auto" w:fill="FFFFFF"/>
        </w:rPr>
        <w:t>trường ĐẠI HỌC CÔNG LẬP QUỐC TẾ</w:t>
      </w:r>
      <w:r>
        <w:rPr>
          <w:rFonts w:ascii="Muli" w:hAnsi="Muli"/>
          <w:color w:val="333333"/>
          <w:spacing w:val="8"/>
          <w:sz w:val="21"/>
          <w:szCs w:val="21"/>
          <w:shd w:val="clear" w:color="auto" w:fill="FFFFFF"/>
        </w:rPr>
        <w:t> đầu tiên và duy nhất tại Miền Trung. Chúng tôi cam kết đem lại cho sinh viên môi trường học tập tốt nhất, cung cấp nền tảng kiến thức vững chắc và giúp các em sẵn sàng cho thị trường lao động trong nước cũng như nước ngoài. Các chương trình đào tạo đều được xây dựng theo tư vấn của Đại học Aston, đối tác chiến lược của VNUK tại Anh quốc, được giảng dạy hoàn toàn bằng tiếng Anh với 30% thời lượng được giảng dạy bởi giảng viên người nước ngoài. Sinh viên học tập tại VNUK được tập trung phát triển tư duy toàn cầu, thái độ chuyên nghiệp và có nhiều cơ hội thực tập tại các doanh nghiệp lớn nên nhờ đó có thể sẵn sàng cho thị trường lao động trong nước và quốc tế.</w:t>
      </w:r>
    </w:p>
    <w:p w:rsidR="00406A0E" w:rsidRPr="00406A0E" w:rsidRDefault="00406A0E" w:rsidP="00406A0E">
      <w:pPr>
        <w:shd w:val="clear" w:color="auto" w:fill="FFFFFF"/>
        <w:spacing w:after="0" w:line="240" w:lineRule="auto"/>
        <w:textAlignment w:val="baseline"/>
        <w:rPr>
          <w:rFonts w:ascii="Arial" w:eastAsia="Times New Roman" w:hAnsi="Arial" w:cs="Arial"/>
          <w:color w:val="363636"/>
          <w:sz w:val="21"/>
          <w:szCs w:val="21"/>
        </w:rPr>
      </w:pPr>
      <w:r w:rsidRPr="00406A0E">
        <w:rPr>
          <w:rFonts w:ascii="Arial" w:eastAsia="Times New Roman" w:hAnsi="Arial" w:cs="Arial"/>
          <w:color w:val="363636"/>
          <w:sz w:val="36"/>
          <w:szCs w:val="36"/>
          <w:bdr w:val="none" w:sz="0" w:space="0" w:color="auto" w:frame="1"/>
        </w:rPr>
        <w:lastRenderedPageBreak/>
        <w:t>Đổi mới giáo dục đại học trong bối cảnh Cách mạng Công nghiệp 4.0</w:t>
      </w:r>
    </w:p>
    <w:p w:rsidR="00406A0E" w:rsidRPr="00406A0E" w:rsidRDefault="00406A0E" w:rsidP="00406A0E">
      <w:pPr>
        <w:spacing w:line="240" w:lineRule="auto"/>
        <w:jc w:val="both"/>
        <w:textAlignment w:val="baseline"/>
        <w:rPr>
          <w:rFonts w:ascii="Arial" w:eastAsia="Times New Roman" w:hAnsi="Arial" w:cs="Arial"/>
          <w:b/>
          <w:bCs/>
          <w:color w:val="454545"/>
          <w:sz w:val="21"/>
          <w:szCs w:val="21"/>
        </w:rPr>
      </w:pPr>
      <w:r w:rsidRPr="00406A0E">
        <w:rPr>
          <w:rFonts w:ascii="Arial" w:eastAsia="Times New Roman" w:hAnsi="Arial" w:cs="Arial"/>
          <w:b/>
          <w:bCs/>
          <w:color w:val="454545"/>
          <w:sz w:val="21"/>
          <w:szCs w:val="21"/>
        </w:rPr>
        <w:t>Trong kỷ nguyên số hóa, giáo dục đại học (GDĐH) sẽ thay đổi sâu rộng từ môi trường giáo dục, vai trò của người dạy, người học đến phương pháp dạy học. Hiện nay, không chỉ Việt Nam mà nhiều quốc gia trên thế giới đang phải đối mặt với thách thức lớn về thiếu hụt lao động trình độ cao, có chuyên môn, kỹ năng. </w:t>
      </w:r>
    </w:p>
    <w:p w:rsidR="00406A0E" w:rsidRPr="00406A0E" w:rsidRDefault="00406A0E" w:rsidP="00406A0E">
      <w:pPr>
        <w:spacing w:after="0" w:line="240" w:lineRule="auto"/>
        <w:jc w:val="center"/>
        <w:textAlignment w:val="baseline"/>
        <w:rPr>
          <w:rFonts w:ascii="Arial" w:eastAsia="Times New Roman" w:hAnsi="Arial" w:cs="Arial"/>
          <w:color w:val="363636"/>
          <w:sz w:val="21"/>
          <w:szCs w:val="21"/>
        </w:rPr>
      </w:pPr>
      <w:r>
        <w:rPr>
          <w:rFonts w:ascii="Arial" w:eastAsia="Times New Roman" w:hAnsi="Arial" w:cs="Arial"/>
          <w:noProof/>
          <w:color w:val="363636"/>
          <w:sz w:val="21"/>
          <w:szCs w:val="21"/>
        </w:rPr>
        <w:drawing>
          <wp:inline distT="0" distB="0" distL="0" distR="0">
            <wp:extent cx="5716905" cy="3585845"/>
            <wp:effectExtent l="0" t="0" r="0" b="0"/>
            <wp:docPr id="1" name="Picture 1" descr="http://hvcsnd.edu.vn/Uploads/2019/8/6/18/doi-moi-giao-duc-dai-hoc-trong-boi-canh-cach-mang-cong-nghiep-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vcsnd.edu.vn/Uploads/2019/8/6/18/doi-moi-giao-duc-dai-hoc-trong-boi-canh-cach-mang-cong-nghiep-4-0-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6905" cy="3585845"/>
                    </a:xfrm>
                    <a:prstGeom prst="rect">
                      <a:avLst/>
                    </a:prstGeom>
                    <a:noFill/>
                    <a:ln>
                      <a:noFill/>
                    </a:ln>
                  </pic:spPr>
                </pic:pic>
              </a:graphicData>
            </a:graphic>
          </wp:inline>
        </w:drawing>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Cách mạng Công nghiệp lần thứ tư (CMCN 4.0) đã và đang diễn ra một cách nhanh chóng, mạnh mẽ, gây tác động sâu sắc đến mọi lĩnh vực của đời sống xã hội. Trong kỷ nguyên số hóa, giáo dục đại học (GDĐH) sẽ thay đổi sâu rộng từ môi trường giáo dục, vai trò của người dạy, người học đến phương pháp dạy học. Hiện nay, không chỉ Việt Nam mà nhiều quốc gia trên thế giới đang phải đối mặt với thách thức lớn về thiếu hụt lao động trình độ cao, có chuyên môn, kỹ năng. Do đó, để đổi mới giáo dục đại học, đáp ứng yêu cầu của thị trường lao động, cần nâng cao nhận thức, đổi mới tư duy về phát triển GDĐH; đổi mới chương trình và phương thức đào tạo; áp dụng công nghệ vào quá trình giảng dạy; đổi mới mô hình liên kết giữa trường đại học và doanh nghiệp, nâng cao chất lượng đội ngũ nhà giáo và cán bộ quản lý.</w:t>
      </w:r>
    </w:p>
    <w:p w:rsidR="00406A0E" w:rsidRPr="00406A0E" w:rsidRDefault="00406A0E" w:rsidP="00406A0E">
      <w:pPr>
        <w:spacing w:after="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b/>
          <w:bCs/>
          <w:color w:val="363636"/>
          <w:sz w:val="21"/>
          <w:szCs w:val="21"/>
          <w:bdr w:val="none" w:sz="0" w:space="0" w:color="auto" w:frame="1"/>
        </w:rPr>
        <w:t>1. Giáo dục đại học trong bối cảnh Cách mạng công nghiệp 4.0</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CMCN 4.0 dựa trên nền tảng công nghệ số nhằm xây dựng thế giới siêu kết nối và tích hợp các công nghệ thông minh để tối ưu hóa quy trình, phương thức sản xuất. Những công nghệ đột phá, tiên tiến nhất hiện nay là Trí tuệ nhân tạo (AI); Dữ liệu lớn (Big Data); Công nghệ in 3D; Xe tự lái; Người máy cao cấp; Internet kết nối vạn vật (IoT), Công nghệ nano, Công nghệ vật liệu mới và cảm biến, Công nghệ sinh học... Thành tựu của CMCN 4.0 đã được ứng dụng rộng rãi trong sản xuất và đời sống như: xây dựng thành phố thông minh, nhà ở thông minh, hệ thống giao thông, bệnh viện, nhà máy thông minh; tạo lập kết nối giữa các thiết bị, máy móc với nhau, thậm chí giữa máy móc với con người.</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lastRenderedPageBreak/>
        <w:t>CMCN 4.0 tạo cơ hội cũng như đặt ra yêu cầu tất yếu phải xây dựng nền giáo dục 4.0. Theo đó, giáo dục trở thành một hệ sinh thái mà mọi người có thể cùng học tập mọi lúc, mọi nơi với các thiết bị được kết nối. Tổ chức giáo dục trở thành một hệ sinh thái tạo sản phẩm sáng tạo mang tính cá thể, với kiến thức và năng lực đổi mới, sáng tạo riêng của cá nhân.</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Giáo dục 4.0 có sự thay đổi lớn trong mục tiêu và cách thức đào tạo, chuyển từ truyền thụ kiến thức cho số đông sang khai phóng tiềm năng, đồng thời trao quyền sáng tạo cho từng cá nhân. Người dạy sẽ chuyển sang vai trò mới là người thiết kế, xúc tác, cố vấn và tạo môi trường học tập. Với nội dung học tập được số hóa, người học sẽ có một lộ trình học tập riêng, có thể lựa chọn nội dung phù hợp với mục tiêu đào tạo. Hệ thống học tập số hóa cũng cung cấp phản hồi về hiệu quả học tập cùng với gợi ý cho các nội dung học tập tiếp theo.</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Phạm vi tương tác trong giáo dục 4.0 rất rộng lớn, khoảng cách về địa lý, không gian và thời gian bị xóa nhòa. Môi trường giáo dục không chỉ diễn ra trong phạm vi nhà trường mà mở rộng ra phạm vi toàn cầu. Người học có thể chủ động nghiên cứu tài liệu cũng như tương tác với giảng viên ở mọi thời điểm bằng máy tính hoặc điện thoại thông minh. Sự phát triển của các hình thức học trực tuyến giúp người học tiết kiệm thời gian, công sức và chi phí. Công nghệ thực tế tăng cường/thực tế ảo (AR/VR) được sử dụng rộng rãi, giúp người học trải nghiệm và rèn luyện kỹ năng.</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Trong giáo dục 4.0, nhờ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Thậm chí công nghệ AI có thể thay thế giảng viên ở một số khâu như điểm danh, chấm bài, soạn bài và hỗ trợ dạy ngoại ngữ.</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Hiện nay, các tập đoàn công nghệ lớn đã cho ra đời nhiều thiết bị và phần mềm thông minh phục vụ giáo dục. Chẳng hạn, Bộ công cụ giáo dục Google (G-Suite for Education) cung cấp miễn phí bộ xử lý văn bản (Word), bảng tính (Sheet), trình chiếu (Slide). Ứng dụng Tài liệu (Google Docs) giúp người học tạo và chỉnh sửa tài liệu trực tuyến, miễn phí. Công nghệ Chroma Key tạo trường quay thu nhỏ để người học tự sản xuất sản phẩm truyền thông. Công nghệ đám mây (Cloud) cung cấp những phần mềm học tập trên Internet có sử dụng tài khoản...</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Tuy nhiên, CMCN 4.0 cũng đặt ra các thách thức không nhỏ trên bình diện toàn xã hội nói chung, GDĐH nói riêng. Thị trường lao động có nguy cơ thay đổi hoàn toàn do robot dần thay thế người lao động. Thống kê của Liên đoàn Robot quốc tế cho thấy, tốc độ robot hóa trong lĩnh vực công nghiệp toàn cầu đang đạt ngưỡng rất nhanh, dẫn đầu là Hàn Quốc với tỷ lệ 631 robot/ 10.000 lao động(1). Tổ chức Lao động Quốc tế (ILO) dự báo, trong 2 thập niên tới, khoảng 56% số lao động tại 5 quốc gia Đông Nam Á, trong đó có Việt Nam, có nguy cơ mất việc vì robot(2).</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Việt Nam đang trở thành quốc gia có tiềm năng phát triển công nghệ cao, với hàng triệu việc làm mới trong lĩnh vực phần mềm. Tuy nhiên, khi tự động hóa dần thay thế nhân lực trong nhiều lĩnh vực, người lao động chắc chắn cần thích ứng nhanh với sự thay đổi của sản xuất. Do đó, trường đại học là nơi cung cấp nguồn nhân lực bậc cao cho xã hội, cũng phải thay đổi toàn diện cả về mô hình, nội dung chương trình và phương thức đào tạo.</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Trong CMCN 4.0, tương tác giữa các thiết bị và giữa thiết bị với con người sẽ tạo ra một hình thái sản xuất mới. Một số kỹ năng mới sẽ là yêu cầu bắt buộc đối với người lao động như: kỹ năng giải quyết vấn đề, tư duy phê phán, kỹ năng giao tiếp, cộng tác, sáng tạo, đổi mới(3). Đây là đặc điểm quan trọng không những định hướng, làm thay đổi chương trình đào tạo, hình thành chuyên ngành mới trong các trường đại học mà còn đặt ra yêu cầu tất yếu phải “học tập suốt đời” đối với người lao động trong CMCN 4.0.</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lastRenderedPageBreak/>
        <w:t>Các hoạt động đào tạo và nghiên cứu khoa học của các trường đại học cũng phải đối mặt với yêu cầu cải cách và cạnh tranh mới trước sự phát triển của CMCN 4.0. Nhiều tập đoàn công nghệ có tiềm lực khoa học, nhân lực và tài chính rất lớn, có lợi thế trong cuộc chạy đua biến tri thức thành sản phẩm phục vụ cuộc sống, có nhiều trải nghiệm thực tế mà những nhà nghiên cứu, những giảng viên đại học không có. Bên cạnh đó, tự do thương mại dịch vụ GDĐH toàn cầu tạo ra sự cạnh tranh giữa các trường đại học trong và ngoài nước trong thu hút sinh viên.</w:t>
      </w:r>
    </w:p>
    <w:p w:rsidR="00406A0E" w:rsidRPr="00406A0E" w:rsidRDefault="00406A0E" w:rsidP="00406A0E">
      <w:pPr>
        <w:spacing w:after="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b/>
          <w:bCs/>
          <w:color w:val="363636"/>
          <w:sz w:val="21"/>
          <w:szCs w:val="21"/>
          <w:bdr w:val="none" w:sz="0" w:space="0" w:color="auto" w:frame="1"/>
        </w:rPr>
        <w:t>2. Lợi thế của giáo dục đại học Việt Nam trong Cách mạng công nghiệp 4.0</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Việt Nam có một lợi thế lớn là sự phổ biến của điện thoại thông minh và mạng internet. Theo thống kê, lượng người sử dụng internet năm 2018 đạt 64 triệu, chiếm 67% dân số. Việt Nam có thể vào top 10 quốc gia có tỷ lệ người tiếp cận Internet cao nhất, với khoảng 80% dân số sử dụng internet trước năm 2020. Riêng mảng mạng xã hội, tính đến tháng 1-2018, có tới 55 triệu người dùng, chiếm 57% dân số(4). Tỷ lệ người sử dụng Internet trong dân số cao là một trong những điều kiện ban đầu giúp Việt Nam tiếp cận giáo dục 4.0 nhanh hơn.</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Đảng và Nhà nước ta luôn quan tâm đến giáo dục, đặc biệt trong bối cảnh khoa học, công nghệ phát triển nhanh như vũ bão. Hội nghị lần thứ tám Ban Chấp hành Trung ương Đảng khóa XI, đã ban hành Nghị quyết số 29-NQ/TW về đổi mới căn bản, toàn diện giáo dục và đào tạo, đáp ứng yêu cầu CNH, HĐH trong điều kiện kinh tế thị trường định hướng XHCN và hội nhập quốc tế (4-11-2013). Thủ tướng Chính phủ đã ban hành Chỉ thị số 16/CT-TTg về việc tăng cường năng lực tiếp cận Cuộc cách mạng Công nghiệp lần thứ tư (4-5-2017). Bộ Giáo dục và Đào tạo đã xây dựng Đề án Hỗ trợ sinh viên khởi nghiệp đến năm 2025; Đề án Nâng cao năng lực đội ngũ giảng viên, cán bộ quản lý các cơ sở GDĐH đáp ứng yêu cầu đổi mới căn bản toàn diện giáo dục và đào tạo giai đoạn 2019 - 2030; Chiến lược Phát triển tổng thể GDĐH giai đoạn 2021-2030, tầm nhìn 2035, làm cơ sở cho đổi mới, phát triển toàn diện và bền vững trong dài hạn của hệ thống GDĐH.</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Nhiều cuộc hội thảo về CMCN 4.0 với giáo dục Việt Nam đã được tổ chức như: Hội thảo “Từ CMCN 4.0 đến giáo dục 4.0 và mô hình khung 4Cs để chuyển đổi GDĐH thành hệ sinh thái tạo sản phẩm sáng tạo” của Đại học Bách khoa Đà Nẵng; Hội thảo quốc tế ICTER 2018 “Đào tạo giáo viên trong bối cảnh cuộc Cách mạng công nghiệp 4.0” của trường Đại học Sư phạm, Đại học Thái Nguyên;  Hội thảo “Kỷ nguyên số hóa: Cơ hội và thách thức” của trường Đại học Công nghệ, Đại học Quốc gia Hà Nội...</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Nhiều đơn vị giáo dục đã chủ động tiếp cận với các làn sóng công nghệ giáo dục mới để triển khai đào tạo dựa trên các khóa học đại trà trực tuyến mở (MOOC), đưa AR và VR vào xây dựng hệ thống học tập, hoặc triển khai các hệ thống học tập số hóa thông minh. Chẳng hạn, trường Đại học Bách khoa đã đổi mới mô hình, chương trình đào tạo, cho phép người học chủ động lựa chọn, tự lập kế hoạch, đăng ký học các học phần trong chương trình tích hợp. Trường Đại học Y Dược TP. Hồ Chí Minh triển khai số hóa với phần mềm quản lý hình ảnh Centricity Universal Viewer và Advanced Visualization, cho phép cải thiện quy trình làm việc, giúp bác sĩ chẩn đoán và thực hiện các báo cáo hiệu quả, chính xác hơn.</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Nhiều trung tâm, trường học đã xây dựng các lớp học trực tuyến. Học viện Apax Franklin (Hà Nội) đã kết hợp mô hình dạy và học theo công nghệ 4.0, ứng dụng phương pháp kết hợp ba trong một (Facetime - Apptime - Teamtime) ở bậc học phổ thông, phát triển năng lực học sinh thông qua tương tác ở mọi thời điểm. Mô hình “Samsung Smart school” (Lớp học thông minh) đã hình thành tại trường Đại học Y Dược, Đại học Thái Nguyên, giúp việc tiếp thu kiến thức trở nên hấp dẫn và thú vị, khuyến khích giao tiếp hai chiều giữa giảng viên và sinh viên. Mô hình này bao gồm Giảng dạy tương tác (Interactive teaching) với các thiết bị thông minh, Quản lý học tập (Class management) kết hợp với Phương pháp học tập theo nhóm (Team-based learning).</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lastRenderedPageBreak/>
        <w:t>Tuy nhiên, đến nay, hành động và chiến lược cụ thể cho tiến trình công nghệ hóa giáo dục còn chậm. Việc chuyển đổi số ở trường đại học mới chỉ ở bước đầu. Các trường đại học chưa tạo được sự liên thông giữa chuẩn mực GDĐH trong nước và quốc tế. Chất lượng của lực lượng lao động được đào tạo đại học chưa đáp ứng tốt nhu cầu phát triển kinh tế - xã hội và hội nhập quốc tế; thiếu các nghiên cứu khoa học đạt chất lượng quốc tế từ các cơ sở GDĐH. Việc gắn kết giữa trường đại học với doanh nghiệp trong đào tạo đại học hiện nay chưa chặt chẽ; sinh viên ra trường chưa đáp ứng được ngay yêu cầu công việc.</w:t>
      </w:r>
    </w:p>
    <w:p w:rsidR="00406A0E" w:rsidRPr="00406A0E" w:rsidRDefault="00406A0E" w:rsidP="00406A0E">
      <w:pPr>
        <w:spacing w:after="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b/>
          <w:bCs/>
          <w:color w:val="363636"/>
          <w:sz w:val="21"/>
          <w:szCs w:val="21"/>
          <w:bdr w:val="none" w:sz="0" w:space="0" w:color="auto" w:frame="1"/>
        </w:rPr>
        <w:t>3. Một số giải pháp đổi mới giáo dục đại học trong Cách mạng công nghiệp 4.0</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Một là, nâng cao nhận thức và đổi mới tư duy về phát triển GDĐH trong tổng thể chiến lược phát triển của quốc gia.</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Để tận dụng hiệu quả cơ hội cũng như vượt qua thách thức từ CMCN 4.0, các trường đại học cần nâng cao nhận thức về tầm quan trọng của CMCN 4.0; về sự thay đổi của thị trường việc làm; về sứ mạng của trường đại học trong chuẩn bị nguồn nhân lực bậc cao và tham gia tái cơ cấu thị trường lao động.</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Chiến lược phát triển tổng thể GDĐH cần xác định vai trò then chốt trong việc cung cấp nguồn nhân lực bậc cao và đóng góp trực tiếp vào sự phát triển kinh tế - xã hội của đất nước; đào tạo lực lượng lao động có trình độ chuyên môn, kỹ năng mềm, tư duy sáng tạo, có khả năng thích nghi với sự thay đổi liên tục của thị trường lao động toàn cầu. Với tầm nhìn dài hạn, hệ thống GDĐH phải tích cực đổi mới, sáng tạo; hội nhập toàn diện với hệ thống GDĐH thế giới.</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Cần nâng cao năng lực quản lý nhà nước và quản trị đại học, quy hoạch mạng lưới cơ sở giáo dục đại học; bảo đảm tài chính bền vững và tăng cường tính minh bạch. Tạo sự đồng thuận của các cấp, các bộ ngành, các cơ sở đào tạo và các bên liên quan đến giáo dục đại học. Tập trung rà soát, sửa đổi các quy định về trách nhiệm vai trò hội đồng trường trong quản trị trường đại học; hướng dẫn và tăng cường giám sát trách nhiệm giải trình của các cơ sở GDĐH; có cơ chế chính sách tạo điều kiện và môi trường thuận lợi, tạo khung pháp lý cho mối quan hệ giữa cơ sở GDĐH và doanh nghiệp.</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Hai là, đổi mới mô hình, chương trình và phương thức đào tạo.</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Mục tiêu đào tạo cần thay đổi theo hướng thúc đẩy sáng tạo, phát triển năng lực cá nhân. Đào tạo theo định hướng khởi nghiệp có thể triển khai theo mô hình “5 trong 1”, trong đó, chuẩn đầu ra với nhiều kỹ năng mới của công dân 4.0 và 5 thành tố bao gồm: Có nhiều chương trình đào tạo mới có tính liên ngành và xuyên ngành cao và nhiều chương trình đào tạo gắn với công nghệ 4.0; Cấu trúc chương trình đào tạo mới; Công nghệ đào tạo mới; Các dự án khởi nghiệp mới và Hệ sinh thái giáo dục khởi nghiệp mới kết nối tất cả các bên liên quan: người dạy, người học, giảng đường, phòng thí nghiệm và người sử dụng.</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Thay vì giảng dạy một chương trình chung, cần xây dựng nhiều chương trình khác nhau giúp cá nhân hóa việc đào tạo; cần xác định rõ điểm mạnh, điểm yếu của từng người học để đưa ra chương trình đào tạo riêng phù hợp. Đẩy mạnh nghiên cứu, phát triển các ngành học mới (chẳng hạn, ngành trí tuệ nhân tạo, phân tích dữ liệu, ngành hội tụ ICT thông minh), hệ thống giáo trình cũng cần thay đổi, cập nhật liên tục. Chú trọng đào tạo các kỹ năng mới như: tìm kiếm thông tin; cập nhật phần mềm; tiếp cận và lưu trữ dữ liệu; sử dụng các thiết bị cảm biến, làm việc cùng robot; sử dụng công nghệ Blockchain; giải quyết vấn đề, tư duy phản biện, sáng tạo; quản lý nhân sự; làm việc nhóm...</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 xml:space="preserve">Cần thay đổi tư duy dạy và học theo phương pháp mới để người học vừa lĩnh hội được kiến thức, vừa biết vận dụng sáng tạo vào thực tiễn. Kết hợp giữa các phương pháp truyền thống (thuyết trình, </w:t>
      </w:r>
      <w:r w:rsidRPr="00406A0E">
        <w:rPr>
          <w:rFonts w:ascii="Arial" w:eastAsia="Times New Roman" w:hAnsi="Arial" w:cs="Arial"/>
          <w:color w:val="363636"/>
          <w:sz w:val="21"/>
          <w:szCs w:val="21"/>
        </w:rPr>
        <w:lastRenderedPageBreak/>
        <w:t>đàm thoại, luyện tập...) với các phương pháp mới (giải quyết vấn đề, dạy học tình huống, dạy học định hướng hành động...). Đồng thời, vận dụng các phương pháp gắn với công nghệ hiện đại như dạy học trực tuyến E-learning, phương pháp giáo dục tích hợp khoa học, công nghệ, kỹ thuật và toán học (Giáo dục STEM)...</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Ba là, đẩy nhanh quá trình chuyển đổi số, đón đầu áp dụng công nghệ mới.</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Chuyển đổi số phải bảo đảm 4 yếu tố, bao gồm: trao quyền cho giảng viên; tương tác với sinh viên; tối ưu hóa tổ chức và đổi mới phương pháp. Quá trình chuyển đổi số ở trường đại học diễn ra ở cả ba giai đoạn, bao gồm: lập kế hoạch; xây dựng chiến lược một cách độc lập và thực hiện các đổi mới sáng tạo; giám sát tác động của việc triển khai công nghệ.</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Hiện nay, có rất nhiều công cụ cho chuyển đổi số như: công cụ hội nghị truyền hình Skype, GoToMeeting, Blue jeans; ứng dụng đàm thoại, chia sẻ tài nguyên Microsoft Teams; ứng dụng OneNote; Stream; ứng dụng phân tích người đọc Reader Analytics; tra từ điển Tflat; App hỗ trợ vẽ mindmap (Mindnode, Simplemind); dịch vụ trực tuyến Wolfram Alpha; công cụ Power BI và các Hệ thống quản lý học tập Blackboard, WebCT, Desire2Learn, ANGEL, Sakai, Moodle... Các trường đại học cần áp dụng công nghệ mới, sử dụng các công cụ đa năng như máy tính, máy chiếu, bài giảng điện tử, bảng điện tử thông minh, sách giáo khoa điện tử, nhất là các phần mềm dạy học (E-learning...). Theo đó, việc tổ chức lớp học, giao bài tập, giới hạn thời gian, kiểm tra bài, cung cấp tài liệu, nhận phản hồi, điều chỉnh hoạt động của sinh viên... đều được thao tác trên máy.</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Xây dựng các mô hình trường quay thu nhỏ sử dụng công nghệ mới, các phòng học ảo, phòng thí nghiệm ảo, thiết bị ảo, thư viện ảo... dưới sự hỗ trợ của các thiết bị thông minh. Nghiên cứu ứng dụng công nghệ AI, nhất là trong tổng hợp thông tin học tập, các gợi ý hữu ích cho người học và người dạy, tạo điều kiện cho người học tiếp cận giáo trình chuẩn hóa theo từng cá nhân, trong đánh giá năng lực và nhu cầu của người học, hoặc sử dụng để khắc phục sự thiếu hụt đội ngũ giảng viên (chẳng hạn dạy ngoại ngữ).</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Bốn là, đổi mới mô hình kết nối giữa trường đại học và doanh nghiệp.</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Cần thiết lập mô hình tổng thể ở cấp độ cao trên cơ sở thiết lập một khuôn mẫu gắn kết chung với nhiều hình thức trong một hệ thống chặt chẽ, có thể tương tác và hỗ trợ nhau. Trường đại học vừa đào tạo, vừa chuyển giao công nghệ hoặc gắn kết vừa đào tạo, vừa nghiên cứu và triển khai. Từ mô hình tổng thể này, thiết lập mô hình cụ thể, riêng rẽ, như gắn kết theo hình thức đào tạo đại học vừa học, vừa làm; đào tạo lý thuyết ở trường đại học, thực tập kỹ năng tại doanh nghiệp; đào tạo theo đơn đặt hàng của doanh nghiệp; mở rộng giảng đường đào tạo từ đại học đến doanh nghiệp... Cơ chế và chính sách phải lấy chất lượng đào tạo làm cầu nối gắn kết theo nguyên tắc thị trường, nhất là thị trường lao động và trên cơ sở hài hòa, chia sẻ lợi ích các bên; thiết lập thể chế quản trị mô hình gắn kết giữa trường đại học với doanh nghiệp (đánh giá kết quả đầu ra; sự phản hồi từ doanh nghiệp...).</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Coi trọng việc đưa giảng viên trường đại học đi thực tế tại doanh nghiệp để bổ sung, cập nhật kiến thức, công nghệ, nâng cao kỹ năng nghề, phương pháp giảng dạy và sử dụng giảng viên kiêm nhiệm của doanh nghiệp, hoặc trí thức hóa các giảng viên từ doanh nghiệp để sử dụng trong trường đại học; tăng cường tương tác giữa giảng viên và doanh nghiệp; thiết kế các khóa đào tạo chuyên biệt theo yêu cầu của doanh nghiệp đặt hàng hoặc tăng cường sự tham gia của doanh nghiệp đối tác vào xây dựng chương trình, giáo trình; đầu tư kết cấu hạ tầng đào tạo đáp ứng yêu cầu của doanh nghiệp.</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Năm là, nâng cao chất lượng đội ngũ nhà giáo và cán bộ quản lý.</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lastRenderedPageBreak/>
        <w:t>Đẩy mạnh thực hiện Đề án Nâng cao năng lực đội ngũ giảng viên, cán bộ quản lý các cơ sở GDĐH đáp ứng yêu cầu đổi mới căn bản toàn diện giáo dục và đào tạo giai đoạn 2019 - 2030. Theo đó, tiến hành khảo sát, đánh giá khả năng đào tạo giảng viên của các cơ sở GDĐH; xác định các lĩnh vực, ngành, chuyên ngành trọng tâm cần ưu tiên đào tạo; công bố danh sách và thông tin về các trường đại học có chất lượng tốt, tạo điều kiện cho người học chọn lựa, chủ động trong học tập và nghiên cứu; tạo thuận lợi cho các cơ sở GDĐH trong nước liên kết, hợp tác đào tạo.</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Bảo đảm tính tự chủ của cơ sở GDĐH trong công tác tuyển chọn, xét duyệt giảng viên đủ điều kiện đào tạo tiến sĩ, thạc sĩ. Kiểm soát chặt chẽ các khâu nghiệm thu, đánh giá luận án, luận văn, công nhận, cấp phát bằng, bảo đảm chất lượng đầu ra. Có chính sách thu hút các nhà khoa học, người có trình độ, đủ tiêu chuẩn làm giảng viên tại các cơ sở GDĐH.</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Tổ chức biên soạn chương trình, tài liệu bồi dưỡng nâng cao năng lực quản trị đại học đối với cán bộ quản lý chủ chốt gồm chủ tịch hội đồng trường, hiệu trưởng, phó hiệu trưởng (và tương đương) và đội ngũ cán bộ quản lý cấp đơn vị trực thuộc của các cơ sở GDĐH. Tổ chức các khóa bồi dưỡng nâng cao năng lực quản trị đối với cán bộ quản lý chủ chốt và đội ngũ cán bộ quản lý cấp đơn vị trực thuộc của các cơ sở GDĐH.</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Sáu là, tăng cường hợp tác và hội nhập quốc tế về đào tạo.</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Hợp tác và hội nhập quốc tế tạo cơ hội cho sinh viên tham gia các chương trình trao đổi hoặc du học tại chỗ và được tự do phát triển cá nhân; cho phép giảng viên học hỏi phương pháp điều hành và giáo dục từ các trường đại học quốc tế và giúp đối tác hiểu về GDĐH ở Việt Nam; tạo ra các cơ hội hợp tác nghiên cứu khoa học xuyên quốc gia; cải thiện chất lượng theo hướng tiếp cận tiêu chuẩn khu vực/quốc tế trong quản lý, đào tạo, nghiên cứu, đồng thời có thể tạo ra nguồn lao động cạnh tranh, vươn tới xuất khẩu lao động trình độ cao.</w:t>
      </w:r>
      <w:r w:rsidRPr="00406A0E">
        <w:rPr>
          <w:rFonts w:ascii="Arial" w:eastAsia="Times New Roman" w:hAnsi="Arial" w:cs="Arial"/>
          <w:color w:val="363636"/>
          <w:sz w:val="21"/>
          <w:szCs w:val="21"/>
        </w:rPr>
        <w:br/>
        <w:t>Các hoạt động hợp tác quốc tế nên được định hướng và tổ chức từ cấp quản lý hàng đầu và mang tính kế hoạch ở quy mô toàn trường, chứ không chỉ là chức năng của phòng, ban Hợp tác quốc tế như hiện nay. Với tính tự chủ cao, các khoa trong trường đại học cần chủ động trong việc tổ chức các hình thức hợp tác và hội nhập quốc tế theo chiến lược do Ban Giám hiệu đề xuất.</w:t>
      </w:r>
    </w:p>
    <w:p w:rsidR="00406A0E" w:rsidRPr="00406A0E" w:rsidRDefault="00406A0E" w:rsidP="00406A0E">
      <w:pPr>
        <w:spacing w:before="240" w:after="240" w:line="240" w:lineRule="auto"/>
        <w:jc w:val="both"/>
        <w:textAlignment w:val="baseline"/>
        <w:rPr>
          <w:rFonts w:ascii="Arial" w:eastAsia="Times New Roman" w:hAnsi="Arial" w:cs="Arial"/>
          <w:color w:val="363636"/>
          <w:sz w:val="21"/>
          <w:szCs w:val="21"/>
        </w:rPr>
      </w:pPr>
      <w:r w:rsidRPr="00406A0E">
        <w:rPr>
          <w:rFonts w:ascii="Arial" w:eastAsia="Times New Roman" w:hAnsi="Arial" w:cs="Arial"/>
          <w:color w:val="363636"/>
          <w:sz w:val="21"/>
          <w:szCs w:val="21"/>
        </w:rPr>
        <w:t>Ngoài các giải pháp trên, trường đại học cần quan tâm đến bảo mật giáo dục, tìm kiếm biện pháp bảo mật thông tin nhờ sự trợ giúp của công nghệ AI và các chuyên gia về An toàn thông tin để kiểm soát các mối đe dọa tiềm tàng.</w:t>
      </w:r>
    </w:p>
    <w:p w:rsidR="00406A0E" w:rsidRDefault="00406A0E">
      <w:bookmarkStart w:id="0" w:name="_GoBack"/>
      <w:bookmarkEnd w:id="0"/>
    </w:p>
    <w:sectPr w:rsidR="00406A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ul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54412C"/>
    <w:multiLevelType w:val="multilevel"/>
    <w:tmpl w:val="E80EF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BD1"/>
    <w:rsid w:val="000C4AA1"/>
    <w:rsid w:val="00176655"/>
    <w:rsid w:val="00406A0E"/>
    <w:rsid w:val="00970B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70B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70BD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970BD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70BD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70B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70BD1"/>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970BD1"/>
    <w:rPr>
      <w:b/>
      <w:bCs/>
    </w:rPr>
  </w:style>
  <w:style w:type="character" w:customStyle="1" w:styleId="Heading3Char">
    <w:name w:val="Heading 3 Char"/>
    <w:basedOn w:val="DefaultParagraphFont"/>
    <w:link w:val="Heading3"/>
    <w:uiPriority w:val="9"/>
    <w:semiHidden/>
    <w:rsid w:val="00970BD1"/>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70BD1"/>
    <w:rPr>
      <w:i/>
      <w:iCs/>
    </w:rPr>
  </w:style>
  <w:style w:type="character" w:customStyle="1" w:styleId="storyheadline">
    <w:name w:val="story_headline"/>
    <w:basedOn w:val="DefaultParagraphFont"/>
    <w:rsid w:val="00406A0E"/>
  </w:style>
  <w:style w:type="paragraph" w:styleId="BalloonText">
    <w:name w:val="Balloon Text"/>
    <w:basedOn w:val="Normal"/>
    <w:link w:val="BalloonTextChar"/>
    <w:uiPriority w:val="99"/>
    <w:semiHidden/>
    <w:unhideWhenUsed/>
    <w:rsid w:val="00406A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6A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70B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70BD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970BD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70BD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70B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70BD1"/>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970BD1"/>
    <w:rPr>
      <w:b/>
      <w:bCs/>
    </w:rPr>
  </w:style>
  <w:style w:type="character" w:customStyle="1" w:styleId="Heading3Char">
    <w:name w:val="Heading 3 Char"/>
    <w:basedOn w:val="DefaultParagraphFont"/>
    <w:link w:val="Heading3"/>
    <w:uiPriority w:val="9"/>
    <w:semiHidden/>
    <w:rsid w:val="00970BD1"/>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70BD1"/>
    <w:rPr>
      <w:i/>
      <w:iCs/>
    </w:rPr>
  </w:style>
  <w:style w:type="character" w:customStyle="1" w:styleId="storyheadline">
    <w:name w:val="story_headline"/>
    <w:basedOn w:val="DefaultParagraphFont"/>
    <w:rsid w:val="00406A0E"/>
  </w:style>
  <w:style w:type="paragraph" w:styleId="BalloonText">
    <w:name w:val="Balloon Text"/>
    <w:basedOn w:val="Normal"/>
    <w:link w:val="BalloonTextChar"/>
    <w:uiPriority w:val="99"/>
    <w:semiHidden/>
    <w:unhideWhenUsed/>
    <w:rsid w:val="00406A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6A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526732">
      <w:bodyDiv w:val="1"/>
      <w:marLeft w:val="0"/>
      <w:marRight w:val="0"/>
      <w:marTop w:val="0"/>
      <w:marBottom w:val="0"/>
      <w:divBdr>
        <w:top w:val="none" w:sz="0" w:space="0" w:color="auto"/>
        <w:left w:val="none" w:sz="0" w:space="0" w:color="auto"/>
        <w:bottom w:val="none" w:sz="0" w:space="0" w:color="auto"/>
        <w:right w:val="none" w:sz="0" w:space="0" w:color="auto"/>
      </w:divBdr>
      <w:divsChild>
        <w:div w:id="841355254">
          <w:marLeft w:val="0"/>
          <w:marRight w:val="0"/>
          <w:marTop w:val="0"/>
          <w:marBottom w:val="0"/>
          <w:divBdr>
            <w:top w:val="none" w:sz="0" w:space="0" w:color="auto"/>
            <w:left w:val="none" w:sz="0" w:space="0" w:color="auto"/>
            <w:bottom w:val="none" w:sz="0" w:space="0" w:color="auto"/>
            <w:right w:val="none" w:sz="0" w:space="0" w:color="auto"/>
          </w:divBdr>
        </w:div>
        <w:div w:id="793446621">
          <w:marLeft w:val="0"/>
          <w:marRight w:val="0"/>
          <w:marTop w:val="0"/>
          <w:marBottom w:val="0"/>
          <w:divBdr>
            <w:top w:val="none" w:sz="0" w:space="0" w:color="auto"/>
            <w:left w:val="none" w:sz="0" w:space="0" w:color="auto"/>
            <w:bottom w:val="none" w:sz="0" w:space="0" w:color="auto"/>
            <w:right w:val="none" w:sz="0" w:space="0" w:color="auto"/>
          </w:divBdr>
          <w:divsChild>
            <w:div w:id="1465856650">
              <w:marLeft w:val="0"/>
              <w:marRight w:val="0"/>
              <w:marTop w:val="0"/>
              <w:marBottom w:val="240"/>
              <w:divBdr>
                <w:top w:val="none" w:sz="0" w:space="0" w:color="auto"/>
                <w:left w:val="none" w:sz="0" w:space="0" w:color="auto"/>
                <w:bottom w:val="none" w:sz="0" w:space="0" w:color="auto"/>
                <w:right w:val="none" w:sz="0" w:space="0" w:color="auto"/>
              </w:divBdr>
            </w:div>
            <w:div w:id="179883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039285">
      <w:bodyDiv w:val="1"/>
      <w:marLeft w:val="0"/>
      <w:marRight w:val="0"/>
      <w:marTop w:val="0"/>
      <w:marBottom w:val="0"/>
      <w:divBdr>
        <w:top w:val="none" w:sz="0" w:space="0" w:color="auto"/>
        <w:left w:val="none" w:sz="0" w:space="0" w:color="auto"/>
        <w:bottom w:val="none" w:sz="0" w:space="0" w:color="auto"/>
        <w:right w:val="none" w:sz="0" w:space="0" w:color="auto"/>
      </w:divBdr>
    </w:div>
    <w:div w:id="612177577">
      <w:bodyDiv w:val="1"/>
      <w:marLeft w:val="0"/>
      <w:marRight w:val="0"/>
      <w:marTop w:val="0"/>
      <w:marBottom w:val="0"/>
      <w:divBdr>
        <w:top w:val="none" w:sz="0" w:space="0" w:color="auto"/>
        <w:left w:val="none" w:sz="0" w:space="0" w:color="auto"/>
        <w:bottom w:val="none" w:sz="0" w:space="0" w:color="auto"/>
        <w:right w:val="none" w:sz="0" w:space="0" w:color="auto"/>
      </w:divBdr>
    </w:div>
    <w:div w:id="663052959">
      <w:bodyDiv w:val="1"/>
      <w:marLeft w:val="0"/>
      <w:marRight w:val="0"/>
      <w:marTop w:val="0"/>
      <w:marBottom w:val="0"/>
      <w:divBdr>
        <w:top w:val="none" w:sz="0" w:space="0" w:color="auto"/>
        <w:left w:val="none" w:sz="0" w:space="0" w:color="auto"/>
        <w:bottom w:val="none" w:sz="0" w:space="0" w:color="auto"/>
        <w:right w:val="none" w:sz="0" w:space="0" w:color="auto"/>
      </w:divBdr>
    </w:div>
    <w:div w:id="667945860">
      <w:bodyDiv w:val="1"/>
      <w:marLeft w:val="0"/>
      <w:marRight w:val="0"/>
      <w:marTop w:val="0"/>
      <w:marBottom w:val="0"/>
      <w:divBdr>
        <w:top w:val="none" w:sz="0" w:space="0" w:color="auto"/>
        <w:left w:val="none" w:sz="0" w:space="0" w:color="auto"/>
        <w:bottom w:val="none" w:sz="0" w:space="0" w:color="auto"/>
        <w:right w:val="none" w:sz="0" w:space="0" w:color="auto"/>
      </w:divBdr>
    </w:div>
    <w:div w:id="768084719">
      <w:bodyDiv w:val="1"/>
      <w:marLeft w:val="0"/>
      <w:marRight w:val="0"/>
      <w:marTop w:val="0"/>
      <w:marBottom w:val="0"/>
      <w:divBdr>
        <w:top w:val="none" w:sz="0" w:space="0" w:color="auto"/>
        <w:left w:val="none" w:sz="0" w:space="0" w:color="auto"/>
        <w:bottom w:val="none" w:sz="0" w:space="0" w:color="auto"/>
        <w:right w:val="none" w:sz="0" w:space="0" w:color="auto"/>
      </w:divBdr>
    </w:div>
    <w:div w:id="931355477">
      <w:bodyDiv w:val="1"/>
      <w:marLeft w:val="0"/>
      <w:marRight w:val="0"/>
      <w:marTop w:val="0"/>
      <w:marBottom w:val="0"/>
      <w:divBdr>
        <w:top w:val="none" w:sz="0" w:space="0" w:color="auto"/>
        <w:left w:val="none" w:sz="0" w:space="0" w:color="auto"/>
        <w:bottom w:val="none" w:sz="0" w:space="0" w:color="auto"/>
        <w:right w:val="none" w:sz="0" w:space="0" w:color="auto"/>
      </w:divBdr>
    </w:div>
    <w:div w:id="1163547150">
      <w:bodyDiv w:val="1"/>
      <w:marLeft w:val="0"/>
      <w:marRight w:val="0"/>
      <w:marTop w:val="0"/>
      <w:marBottom w:val="0"/>
      <w:divBdr>
        <w:top w:val="none" w:sz="0" w:space="0" w:color="auto"/>
        <w:left w:val="none" w:sz="0" w:space="0" w:color="auto"/>
        <w:bottom w:val="none" w:sz="0" w:space="0" w:color="auto"/>
        <w:right w:val="none" w:sz="0" w:space="0" w:color="auto"/>
      </w:divBdr>
    </w:div>
    <w:div w:id="1409425670">
      <w:bodyDiv w:val="1"/>
      <w:marLeft w:val="0"/>
      <w:marRight w:val="0"/>
      <w:marTop w:val="0"/>
      <w:marBottom w:val="0"/>
      <w:divBdr>
        <w:top w:val="none" w:sz="0" w:space="0" w:color="auto"/>
        <w:left w:val="none" w:sz="0" w:space="0" w:color="auto"/>
        <w:bottom w:val="none" w:sz="0" w:space="0" w:color="auto"/>
        <w:right w:val="none" w:sz="0" w:space="0" w:color="auto"/>
      </w:divBdr>
    </w:div>
    <w:div w:id="1470896064">
      <w:bodyDiv w:val="1"/>
      <w:marLeft w:val="0"/>
      <w:marRight w:val="0"/>
      <w:marTop w:val="0"/>
      <w:marBottom w:val="0"/>
      <w:divBdr>
        <w:top w:val="none" w:sz="0" w:space="0" w:color="auto"/>
        <w:left w:val="none" w:sz="0" w:space="0" w:color="auto"/>
        <w:bottom w:val="none" w:sz="0" w:space="0" w:color="auto"/>
        <w:right w:val="none" w:sz="0" w:space="0" w:color="auto"/>
      </w:divBdr>
    </w:div>
    <w:div w:id="1676034768">
      <w:bodyDiv w:val="1"/>
      <w:marLeft w:val="0"/>
      <w:marRight w:val="0"/>
      <w:marTop w:val="0"/>
      <w:marBottom w:val="0"/>
      <w:divBdr>
        <w:top w:val="none" w:sz="0" w:space="0" w:color="auto"/>
        <w:left w:val="none" w:sz="0" w:space="0" w:color="auto"/>
        <w:bottom w:val="none" w:sz="0" w:space="0" w:color="auto"/>
        <w:right w:val="none" w:sz="0" w:space="0" w:color="auto"/>
      </w:divBdr>
      <w:divsChild>
        <w:div w:id="1651441900">
          <w:marLeft w:val="0"/>
          <w:marRight w:val="0"/>
          <w:marTop w:val="0"/>
          <w:marBottom w:val="0"/>
          <w:divBdr>
            <w:top w:val="none" w:sz="0" w:space="0" w:color="auto"/>
            <w:left w:val="none" w:sz="0" w:space="0" w:color="auto"/>
            <w:bottom w:val="none" w:sz="0" w:space="0" w:color="auto"/>
            <w:right w:val="none" w:sz="0" w:space="0" w:color="auto"/>
          </w:divBdr>
        </w:div>
      </w:divsChild>
    </w:div>
    <w:div w:id="1850556180">
      <w:bodyDiv w:val="1"/>
      <w:marLeft w:val="0"/>
      <w:marRight w:val="0"/>
      <w:marTop w:val="0"/>
      <w:marBottom w:val="0"/>
      <w:divBdr>
        <w:top w:val="none" w:sz="0" w:space="0" w:color="auto"/>
        <w:left w:val="none" w:sz="0" w:space="0" w:color="auto"/>
        <w:bottom w:val="none" w:sz="0" w:space="0" w:color="auto"/>
        <w:right w:val="none" w:sz="0" w:space="0" w:color="auto"/>
      </w:divBdr>
    </w:div>
    <w:div w:id="20811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Pages>
  <Words>5071</Words>
  <Characters>28906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1</cp:revision>
  <dcterms:created xsi:type="dcterms:W3CDTF">2020-03-20T04:35:00Z</dcterms:created>
  <dcterms:modified xsi:type="dcterms:W3CDTF">2020-03-20T05:03:00Z</dcterms:modified>
</cp:coreProperties>
</file>